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631FF" w:rsidR="00165773" w:rsidP="52557DBB" w:rsidRDefault="61AE31F5" w14:paraId="3C712C18" w14:textId="10BBA7B1">
      <w:pPr>
        <w:spacing w:after="240" w:line="240" w:lineRule="auto"/>
        <w:rPr>
          <w:rFonts w:ascii="Times New Roman" w:hAnsi="Times New Roman" w:eastAsia="Times New Roman" w:cs="Times New Roman"/>
          <w:b/>
          <w:bCs/>
          <w:sz w:val="22"/>
          <w:szCs w:val="22"/>
        </w:rPr>
      </w:pPr>
      <w:r w:rsidRPr="00F631FF">
        <w:rPr>
          <w:rFonts w:ascii="Times New Roman" w:hAnsi="Times New Roman" w:eastAsia="Times New Roman" w:cs="Times New Roman"/>
          <w:b/>
          <w:bCs/>
          <w:sz w:val="22"/>
          <w:szCs w:val="22"/>
        </w:rPr>
        <w:t xml:space="preserve">Case Example: </w:t>
      </w:r>
      <w:r w:rsidRPr="00F631FF" w:rsidR="539F8BE4">
        <w:rPr>
          <w:rFonts w:ascii="Times New Roman" w:hAnsi="Times New Roman" w:eastAsia="Times New Roman" w:cs="Times New Roman"/>
          <w:b/>
          <w:bCs/>
          <w:sz w:val="22"/>
          <w:szCs w:val="22"/>
        </w:rPr>
        <w:t>RE-AIM</w:t>
      </w:r>
    </w:p>
    <w:p w:rsidRPr="00F631FF" w:rsidR="00165773" w:rsidP="52557DBB" w:rsidRDefault="61AE31F5" w14:paraId="73F48047" w14:textId="6F371BF8">
      <w:pPr>
        <w:spacing w:after="240" w:line="240" w:lineRule="auto"/>
        <w:rPr>
          <w:rFonts w:ascii="Times New Roman" w:hAnsi="Times New Roman" w:eastAsia="Times New Roman" w:cs="Times New Roman"/>
          <w:sz w:val="22"/>
          <w:szCs w:val="22"/>
        </w:rPr>
      </w:pPr>
      <w:r w:rsidRPr="00F631FF">
        <w:rPr>
          <w:rFonts w:ascii="Times New Roman" w:hAnsi="Times New Roman" w:eastAsia="Times New Roman" w:cs="Times New Roman"/>
          <w:b/>
          <w:bCs/>
          <w:sz w:val="22"/>
          <w:szCs w:val="22"/>
        </w:rPr>
        <w:t>Full citation</w:t>
      </w:r>
      <w:r w:rsidRPr="00F631FF">
        <w:rPr>
          <w:rFonts w:ascii="Times New Roman" w:hAnsi="Times New Roman" w:eastAsia="Times New Roman" w:cs="Times New Roman"/>
          <w:sz w:val="22"/>
          <w:szCs w:val="22"/>
        </w:rPr>
        <w:t xml:space="preserve">: </w:t>
      </w:r>
      <w:r w:rsidRPr="00F631FF" w:rsidR="38B3FD21">
        <w:rPr>
          <w:rFonts w:ascii="Times New Roman" w:hAnsi="Times New Roman" w:eastAsia="Times New Roman" w:cs="Times New Roman"/>
          <w:sz w:val="22"/>
          <w:szCs w:val="22"/>
        </w:rPr>
        <w:t>C</w:t>
      </w:r>
      <w:r w:rsidRPr="00F631FF" w:rsidR="4F610099">
        <w:rPr>
          <w:rFonts w:ascii="Times New Roman" w:hAnsi="Times New Roman" w:eastAsia="Times New Roman" w:cs="Times New Roman"/>
          <w:sz w:val="22"/>
          <w:szCs w:val="22"/>
        </w:rPr>
        <w:t xml:space="preserve"> Chrestman, S.; Patel, T.; Lass, K.; Maulsby, C.; Alexander, H.; Schwanz, C.; O’Brien, K.; Azmeh, W.; Matthews, A.; Decuir, L.; et al. Examining the Implementation of Conditional Financial Incentives Using the Reach, Effectiveness, Adoption, Implementation, and Maintenance (RE-AIM) Framework to Improve HIV Outcomes among Persons Living with HIV (PLWH) in Louisiana. Int. J. Environ. Res. Public Health 2022, 19, 9486. https://doi.org/10.3390/ijerph19159486</w:t>
      </w:r>
    </w:p>
    <w:p w:rsidRPr="00F631FF" w:rsidR="00B95716" w:rsidP="00B95716" w:rsidRDefault="61AE31F5" w14:paraId="734AA42C" w14:textId="51647674">
      <w:pPr>
        <w:pStyle w:val="NormalWeb"/>
        <w:rPr>
          <w:rStyle w:val="relative"/>
          <w:sz w:val="22"/>
          <w:szCs w:val="22"/>
        </w:rPr>
      </w:pPr>
      <w:r w:rsidRPr="1B712705" w:rsidR="61AE31F5">
        <w:rPr>
          <w:b w:val="1"/>
          <w:bCs w:val="1"/>
          <w:sz w:val="22"/>
          <w:szCs w:val="22"/>
        </w:rPr>
        <w:t>Overview</w:t>
      </w:r>
      <w:r w:rsidRPr="1B712705" w:rsidR="61AE31F5">
        <w:rPr>
          <w:sz w:val="22"/>
          <w:szCs w:val="22"/>
        </w:rPr>
        <w:t xml:space="preserve">: </w:t>
      </w:r>
      <w:r w:rsidRPr="1B712705" w:rsidR="00B95716">
        <w:rPr>
          <w:sz w:val="22"/>
          <w:szCs w:val="22"/>
        </w:rPr>
        <w:t xml:space="preserve">This article evaluates the Baton Rouge Positive Pathway Study (BRPPS), which tested whether conditional financial incentives delivered through HIV clinics could improve HIV care continuum outcomes among persons living with HIV (PLWH) in Baton Rouge, </w:t>
      </w:r>
      <w:r w:rsidRPr="1B712705" w:rsidR="00B95716">
        <w:rPr>
          <w:sz w:val="22"/>
          <w:szCs w:val="22"/>
        </w:rPr>
        <w:t>LA</w:t>
      </w:r>
      <w:r w:rsidRPr="1B712705" w:rsidR="00B95716">
        <w:rPr>
          <w:sz w:val="22"/>
          <w:szCs w:val="22"/>
        </w:rPr>
        <w:t xml:space="preserve">. Guided by the RE-AIM framework (Reach, Effectiveness, Adoption, Implementation, Maintenance), BRPPS enrolled 781 PLWH across four HIV clinic sites who were considered high-need or at risk of falling out of care. Participants received up to $140 in Visa gift-card incentives </w:t>
      </w:r>
      <w:r w:rsidRPr="1B712705" w:rsidR="00B95716">
        <w:rPr>
          <w:sz w:val="22"/>
          <w:szCs w:val="22"/>
        </w:rPr>
        <w:t>after</w:t>
      </w:r>
      <w:r w:rsidRPr="1B712705" w:rsidR="00B95716">
        <w:rPr>
          <w:sz w:val="22"/>
          <w:szCs w:val="22"/>
        </w:rPr>
        <w:t xml:space="preserve"> completing quarterly viral load labs and achieving viral suppression at 6 and 12 months. The evaluation </w:t>
      </w:r>
      <w:r w:rsidRPr="1B712705" w:rsidR="00B95716">
        <w:rPr>
          <w:sz w:val="22"/>
          <w:szCs w:val="22"/>
        </w:rPr>
        <w:t>combined</w:t>
      </w:r>
      <w:r w:rsidRPr="1B712705" w:rsidR="00B95716">
        <w:rPr>
          <w:sz w:val="22"/>
          <w:szCs w:val="22"/>
        </w:rPr>
        <w:t xml:space="preserve"> longitudinal clinical outcome analysis with </w:t>
      </w:r>
      <w:r w:rsidRPr="1B712705" w:rsidR="00B95716">
        <w:rPr>
          <w:sz w:val="22"/>
          <w:szCs w:val="22"/>
        </w:rPr>
        <w:t>implementation</w:t>
      </w:r>
      <w:r w:rsidRPr="1B712705" w:rsidR="00B95716">
        <w:rPr>
          <w:sz w:val="22"/>
          <w:szCs w:val="22"/>
        </w:rPr>
        <w:t xml:space="preserve"> metrics and cost analyses. </w:t>
      </w:r>
      <w:r>
        <w:br/>
      </w:r>
    </w:p>
    <w:p w:rsidRPr="00F631FF" w:rsidR="00165773" w:rsidP="00B95716" w:rsidRDefault="00B95716" w14:paraId="572186F2" w14:textId="5B1B2731">
      <w:pPr>
        <w:pStyle w:val="NormalWeb"/>
        <w:rPr>
          <w:sz w:val="22"/>
          <w:szCs w:val="22"/>
        </w:rPr>
      </w:pPr>
      <w:r w:rsidRPr="00F631FF">
        <w:rPr>
          <w:sz w:val="22"/>
          <w:szCs w:val="22"/>
        </w:rPr>
        <w:t>Key results showed significant improvements in engagement and retention in care over 12 months</w:t>
      </w:r>
      <w:r w:rsidRPr="00F631FF">
        <w:rPr>
          <w:sz w:val="22"/>
          <w:szCs w:val="22"/>
        </w:rPr>
        <w:t>. E</w:t>
      </w:r>
      <w:r w:rsidRPr="00F631FF">
        <w:rPr>
          <w:sz w:val="22"/>
          <w:szCs w:val="22"/>
        </w:rPr>
        <w:t xml:space="preserve">ngagement increased from 70% at baseline to 93%, and retention rose from 32% to 64%. However, viral suppression declined over time (from 59% to 34%), a finding the authors </w:t>
      </w:r>
      <w:r w:rsidRPr="00F631FF">
        <w:rPr>
          <w:sz w:val="22"/>
          <w:szCs w:val="22"/>
        </w:rPr>
        <w:t>attribute to</w:t>
      </w:r>
      <w:r w:rsidRPr="00F631FF">
        <w:rPr>
          <w:sz w:val="22"/>
          <w:szCs w:val="22"/>
        </w:rPr>
        <w:t xml:space="preserve"> structural barriers in this population and disruptions from COVID-19. Implementation feasibility was strong</w:t>
      </w:r>
      <w:r w:rsidRPr="00F631FF">
        <w:rPr>
          <w:sz w:val="22"/>
          <w:szCs w:val="22"/>
        </w:rPr>
        <w:t xml:space="preserve">, as </w:t>
      </w:r>
      <w:r w:rsidRPr="00F631FF">
        <w:rPr>
          <w:sz w:val="22"/>
          <w:szCs w:val="22"/>
        </w:rPr>
        <w:t>clinics exceeded recruitment targets</w:t>
      </w:r>
      <w:r w:rsidRPr="00F631FF">
        <w:rPr>
          <w:sz w:val="22"/>
          <w:szCs w:val="22"/>
        </w:rPr>
        <w:t xml:space="preserve">, </w:t>
      </w:r>
      <w:r w:rsidRPr="00F631FF">
        <w:rPr>
          <w:sz w:val="22"/>
          <w:szCs w:val="22"/>
        </w:rPr>
        <w:t>and acceptability of incentives was moderate. Staff reported that tracking and distributing incentives created administrative burden, and long-term sustainability was uncertain without external funding. Cost analyses across three sites suggested the strategy was cost-effective and potentially averted new HIV transmissions, despite mixed clinical outcomes.</w:t>
      </w:r>
    </w:p>
    <w:p w:rsidRPr="00F631FF" w:rsidR="00165773" w:rsidP="52557DBB" w:rsidRDefault="61AE31F5" w14:paraId="098068AC" w14:textId="675A0935">
      <w:pPr>
        <w:spacing w:line="240" w:lineRule="auto"/>
        <w:rPr>
          <w:rFonts w:ascii="Times New Roman" w:hAnsi="Times New Roman" w:eastAsia="Times New Roman" w:cs="Times New Roman"/>
          <w:sz w:val="22"/>
          <w:szCs w:val="22"/>
        </w:rPr>
      </w:pPr>
      <w:r>
        <w:br/>
      </w:r>
      <w:r w:rsidRPr="1B712705" w:rsidR="61AE31F5">
        <w:rPr>
          <w:rFonts w:ascii="Times New Roman" w:hAnsi="Times New Roman" w:eastAsia="Times New Roman" w:cs="Times New Roman"/>
          <w:b w:val="1"/>
          <w:bCs w:val="1"/>
          <w:sz w:val="22"/>
          <w:szCs w:val="22"/>
        </w:rPr>
        <w:t>Population</w:t>
      </w:r>
      <w:r w:rsidRPr="1B712705" w:rsidR="61AE31F5">
        <w:rPr>
          <w:rFonts w:ascii="Times New Roman" w:hAnsi="Times New Roman" w:eastAsia="Times New Roman" w:cs="Times New Roman"/>
          <w:sz w:val="22"/>
          <w:szCs w:val="22"/>
        </w:rPr>
        <w:t xml:space="preserve">: </w:t>
      </w:r>
      <w:r w:rsidRPr="1B712705" w:rsidR="3DB87B00">
        <w:rPr>
          <w:rFonts w:ascii="Times New Roman" w:hAnsi="Times New Roman" w:eastAsia="Times New Roman" w:cs="Times New Roman"/>
          <w:sz w:val="22"/>
          <w:szCs w:val="22"/>
        </w:rPr>
        <w:t>Persons living with HIV (PLWH) in the Baton Rouge area, Louisiana. Majority identified as Black/African American (89%) and low-income (58% earned less than USD</w:t>
      </w:r>
      <w:r w:rsidRPr="1B712705" w:rsidR="782CE63F">
        <w:rPr>
          <w:rFonts w:ascii="Times New Roman" w:hAnsi="Times New Roman" w:eastAsia="Times New Roman" w:cs="Times New Roman"/>
          <w:sz w:val="22"/>
          <w:szCs w:val="22"/>
        </w:rPr>
        <w:t xml:space="preserve"> </w:t>
      </w:r>
      <w:r w:rsidRPr="1B712705" w:rsidR="3DB87B00">
        <w:rPr>
          <w:rFonts w:ascii="Times New Roman" w:hAnsi="Times New Roman" w:eastAsia="Times New Roman" w:cs="Times New Roman"/>
          <w:sz w:val="22"/>
          <w:szCs w:val="22"/>
        </w:rPr>
        <w:t>10,000 annually)</w:t>
      </w:r>
    </w:p>
    <w:p w:rsidRPr="00F631FF" w:rsidR="00165773" w:rsidP="52557DBB" w:rsidRDefault="61AE31F5" w14:paraId="0FC4CFE7" w14:textId="5879B137">
      <w:pPr>
        <w:spacing w:line="240" w:lineRule="auto"/>
        <w:rPr>
          <w:rFonts w:ascii="Times New Roman" w:hAnsi="Times New Roman" w:eastAsia="Times New Roman" w:cs="Times New Roman"/>
          <w:sz w:val="22"/>
          <w:szCs w:val="22"/>
        </w:rPr>
      </w:pPr>
      <w:r w:rsidRPr="00F631FF">
        <w:rPr>
          <w:rFonts w:ascii="Times New Roman" w:hAnsi="Times New Roman" w:eastAsia="Times New Roman" w:cs="Times New Roman"/>
          <w:b/>
          <w:bCs/>
          <w:sz w:val="22"/>
          <w:szCs w:val="22"/>
        </w:rPr>
        <w:t>Topic</w:t>
      </w:r>
      <w:r w:rsidRPr="00F631FF">
        <w:rPr>
          <w:rFonts w:ascii="Times New Roman" w:hAnsi="Times New Roman" w:eastAsia="Times New Roman" w:cs="Times New Roman"/>
          <w:sz w:val="22"/>
          <w:szCs w:val="22"/>
        </w:rPr>
        <w:t xml:space="preserve">: </w:t>
      </w:r>
      <w:r w:rsidRPr="00F631FF" w:rsidR="1C4D257B">
        <w:rPr>
          <w:rFonts w:ascii="Times New Roman" w:hAnsi="Times New Roman" w:eastAsia="Times New Roman" w:cs="Times New Roman"/>
          <w:sz w:val="22"/>
          <w:szCs w:val="22"/>
        </w:rPr>
        <w:t xml:space="preserve">The implementation of conditional financial incentives (CFIs) to improve HIV outcomes, specifically engagement in HIV care, retention in HIV care, and viral suppression, among PLWH in </w:t>
      </w:r>
      <w:proofErr w:type="spellStart"/>
      <w:r w:rsidRPr="00F631FF" w:rsidR="1C4D257B">
        <w:rPr>
          <w:rFonts w:ascii="Times New Roman" w:hAnsi="Times New Roman" w:eastAsia="Times New Roman" w:cs="Times New Roman"/>
          <w:sz w:val="22"/>
          <w:szCs w:val="22"/>
        </w:rPr>
        <w:t>Lousiana</w:t>
      </w:r>
      <w:proofErr w:type="spellEnd"/>
    </w:p>
    <w:p w:rsidRPr="00F631FF" w:rsidR="00165773" w:rsidP="52557DBB" w:rsidRDefault="61AE31F5" w14:paraId="2E32C2F4" w14:textId="18AA711C">
      <w:pPr>
        <w:spacing w:after="0" w:line="240" w:lineRule="auto"/>
        <w:rPr>
          <w:rFonts w:ascii="Times New Roman" w:hAnsi="Times New Roman" w:eastAsia="Times New Roman" w:cs="Times New Roman"/>
          <w:sz w:val="22"/>
          <w:szCs w:val="22"/>
        </w:rPr>
      </w:pPr>
      <w:r w:rsidRPr="00F631FF">
        <w:rPr>
          <w:rFonts w:ascii="Times New Roman" w:hAnsi="Times New Roman" w:eastAsia="Times New Roman" w:cs="Times New Roman"/>
          <w:b/>
          <w:bCs/>
          <w:sz w:val="22"/>
          <w:szCs w:val="22"/>
        </w:rPr>
        <w:t>Setting</w:t>
      </w:r>
      <w:r w:rsidRPr="00F631FF">
        <w:rPr>
          <w:rFonts w:ascii="Times New Roman" w:hAnsi="Times New Roman" w:eastAsia="Times New Roman" w:cs="Times New Roman"/>
          <w:sz w:val="22"/>
          <w:szCs w:val="22"/>
        </w:rPr>
        <w:t xml:space="preserve">: </w:t>
      </w:r>
      <w:r w:rsidRPr="00F631FF" w:rsidR="25EC4798">
        <w:rPr>
          <w:rFonts w:ascii="Times New Roman" w:hAnsi="Times New Roman" w:eastAsia="Times New Roman" w:cs="Times New Roman"/>
          <w:sz w:val="22"/>
          <w:szCs w:val="22"/>
        </w:rPr>
        <w:t xml:space="preserve">Four </w:t>
      </w:r>
      <w:r w:rsidRPr="00F631FF" w:rsidR="2748E981">
        <w:rPr>
          <w:rFonts w:ascii="Times New Roman" w:hAnsi="Times New Roman" w:eastAsia="Times New Roman" w:cs="Times New Roman"/>
          <w:sz w:val="22"/>
          <w:szCs w:val="22"/>
        </w:rPr>
        <w:t>HIV clinic sites in Baton Rouge, Louisiana</w:t>
      </w:r>
    </w:p>
    <w:p w:rsidRPr="00F631FF" w:rsidR="61AE31F5" w:rsidP="5D178687" w:rsidRDefault="61AE31F5" w14:paraId="744305CE" w14:textId="68972E9B">
      <w:pPr>
        <w:spacing w:after="0" w:line="240" w:lineRule="auto"/>
        <w:rPr>
          <w:rFonts w:ascii="Times New Roman" w:hAnsi="Times New Roman" w:eastAsia="Times New Roman" w:cs="Times New Roman"/>
          <w:sz w:val="22"/>
          <w:szCs w:val="22"/>
        </w:rPr>
      </w:pPr>
      <w:r>
        <w:br/>
      </w:r>
      <w:r w:rsidRPr="1B712705" w:rsidR="61AE31F5">
        <w:rPr>
          <w:rFonts w:ascii="Times New Roman" w:hAnsi="Times New Roman" w:eastAsia="Times New Roman" w:cs="Times New Roman"/>
          <w:b w:val="1"/>
          <w:bCs w:val="1"/>
          <w:sz w:val="22"/>
          <w:szCs w:val="22"/>
        </w:rPr>
        <w:t>Type of Study</w:t>
      </w:r>
      <w:r w:rsidRPr="1B712705" w:rsidR="61AE31F5">
        <w:rPr>
          <w:rFonts w:ascii="Times New Roman" w:hAnsi="Times New Roman" w:eastAsia="Times New Roman" w:cs="Times New Roman"/>
          <w:sz w:val="22"/>
          <w:szCs w:val="22"/>
        </w:rPr>
        <w:t xml:space="preserve">: </w:t>
      </w:r>
      <w:r w:rsidRPr="1B712705" w:rsidR="70269446">
        <w:rPr>
          <w:rFonts w:ascii="Times New Roman" w:hAnsi="Times New Roman" w:eastAsia="Times New Roman" w:cs="Times New Roman"/>
          <w:sz w:val="22"/>
          <w:szCs w:val="22"/>
        </w:rPr>
        <w:t>Mixed methods</w:t>
      </w:r>
    </w:p>
    <w:p w:rsidRPr="00F631FF" w:rsidR="00165773" w:rsidP="52557DBB" w:rsidRDefault="61AE31F5" w14:paraId="1C7B7897" w14:textId="228D110A">
      <w:pPr>
        <w:spacing w:after="0" w:line="240" w:lineRule="auto"/>
        <w:rPr>
          <w:rFonts w:ascii="Times New Roman" w:hAnsi="Times New Roman" w:eastAsia="Times New Roman" w:cs="Times New Roman"/>
          <w:sz w:val="22"/>
          <w:szCs w:val="22"/>
        </w:rPr>
      </w:pPr>
      <w:r>
        <w:br/>
      </w:r>
      <w:r w:rsidRPr="1B712705" w:rsidR="61AE31F5">
        <w:rPr>
          <w:rFonts w:ascii="Times New Roman" w:hAnsi="Times New Roman" w:eastAsia="Times New Roman" w:cs="Times New Roman"/>
          <w:b w:val="1"/>
          <w:bCs w:val="1"/>
          <w:sz w:val="22"/>
          <w:szCs w:val="22"/>
        </w:rPr>
        <w:t>Framework(s)</w:t>
      </w:r>
      <w:r w:rsidRPr="1B712705" w:rsidR="61AE31F5">
        <w:rPr>
          <w:rFonts w:ascii="Times New Roman" w:hAnsi="Times New Roman" w:eastAsia="Times New Roman" w:cs="Times New Roman"/>
          <w:sz w:val="22"/>
          <w:szCs w:val="22"/>
        </w:rPr>
        <w:t xml:space="preserve">: </w:t>
      </w:r>
      <w:r w:rsidRPr="1B712705" w:rsidR="7A5C26D4">
        <w:rPr>
          <w:rFonts w:ascii="Times New Roman" w:hAnsi="Times New Roman" w:eastAsia="Times New Roman" w:cs="Times New Roman"/>
          <w:sz w:val="22"/>
          <w:szCs w:val="22"/>
        </w:rPr>
        <w:t>RE-AIM</w:t>
      </w:r>
    </w:p>
    <w:p w:rsidRPr="00F631FF" w:rsidR="00165773" w:rsidP="52557DBB" w:rsidRDefault="61AE31F5" w14:paraId="6ABEC1C9" w14:textId="5D2DAAC5">
      <w:pPr>
        <w:spacing w:after="0" w:line="240" w:lineRule="auto"/>
        <w:rPr>
          <w:rFonts w:ascii="Times New Roman" w:hAnsi="Times New Roman" w:eastAsia="Times New Roman" w:cs="Times New Roman"/>
          <w:sz w:val="22"/>
          <w:szCs w:val="22"/>
        </w:rPr>
      </w:pPr>
      <w:r>
        <w:br/>
      </w:r>
      <w:r w:rsidRPr="1B712705" w:rsidR="61AE31F5">
        <w:rPr>
          <w:rFonts w:ascii="Times New Roman" w:hAnsi="Times New Roman" w:eastAsia="Times New Roman" w:cs="Times New Roman"/>
          <w:b w:val="1"/>
          <w:bCs w:val="1"/>
          <w:sz w:val="22"/>
          <w:szCs w:val="22"/>
        </w:rPr>
        <w:t>Implementation stage</w:t>
      </w:r>
      <w:r w:rsidRPr="1B712705" w:rsidR="61AE31F5">
        <w:rPr>
          <w:rFonts w:ascii="Times New Roman" w:hAnsi="Times New Roman" w:eastAsia="Times New Roman" w:cs="Times New Roman"/>
          <w:sz w:val="22"/>
          <w:szCs w:val="22"/>
        </w:rPr>
        <w:t xml:space="preserve">: </w:t>
      </w:r>
      <w:r w:rsidRPr="1B712705" w:rsidR="2059F9A7">
        <w:rPr>
          <w:rFonts w:ascii="Times New Roman" w:hAnsi="Times New Roman" w:eastAsia="Times New Roman" w:cs="Times New Roman"/>
          <w:sz w:val="22"/>
          <w:szCs w:val="22"/>
        </w:rPr>
        <w:t>Intial</w:t>
      </w:r>
      <w:r w:rsidRPr="1B712705" w:rsidR="2059F9A7">
        <w:rPr>
          <w:rFonts w:ascii="Times New Roman" w:hAnsi="Times New Roman" w:eastAsia="Times New Roman" w:cs="Times New Roman"/>
          <w:sz w:val="22"/>
          <w:szCs w:val="22"/>
        </w:rPr>
        <w:t xml:space="preserve"> implementation and evaluation</w:t>
      </w:r>
    </w:p>
    <w:p w:rsidRPr="00F631FF" w:rsidR="00165773" w:rsidP="52557DBB" w:rsidRDefault="61AE31F5" w14:paraId="541C2043" w14:textId="0553BF69">
      <w:pPr>
        <w:spacing w:line="240" w:lineRule="auto"/>
        <w:rPr>
          <w:rFonts w:ascii="Times New Roman" w:hAnsi="Times New Roman" w:eastAsia="Times New Roman" w:cs="Times New Roman"/>
          <w:sz w:val="22"/>
          <w:szCs w:val="22"/>
        </w:rPr>
      </w:pPr>
      <w:r>
        <w:br/>
      </w:r>
      <w:r w:rsidRPr="1B712705" w:rsidR="61AE31F5">
        <w:rPr>
          <w:rFonts w:ascii="Times New Roman" w:hAnsi="Times New Roman" w:eastAsia="Times New Roman" w:cs="Times New Roman"/>
          <w:b w:val="1"/>
          <w:bCs w:val="1"/>
          <w:sz w:val="22"/>
          <w:szCs w:val="22"/>
        </w:rPr>
        <w:t>Community partnership focus</w:t>
      </w:r>
      <w:r w:rsidRPr="1B712705" w:rsidR="61AE31F5">
        <w:rPr>
          <w:rFonts w:ascii="Times New Roman" w:hAnsi="Times New Roman" w:eastAsia="Times New Roman" w:cs="Times New Roman"/>
          <w:sz w:val="22"/>
          <w:szCs w:val="22"/>
        </w:rPr>
        <w:t xml:space="preserve">: </w:t>
      </w:r>
      <w:r w:rsidRPr="1B712705" w:rsidR="0B16884A">
        <w:rPr>
          <w:rFonts w:ascii="Times New Roman" w:hAnsi="Times New Roman" w:eastAsia="Times New Roman" w:cs="Times New Roman"/>
          <w:sz w:val="22"/>
          <w:szCs w:val="22"/>
        </w:rPr>
        <w:t>Broad community brainstorming meeting with Baton Rouge stakeholders</w:t>
      </w:r>
    </w:p>
    <w:p w:rsidRPr="00F631FF" w:rsidR="61AE31F5" w:rsidP="3F0E6E04" w:rsidRDefault="61AE31F5" w14:paraId="7FE59FEB" w14:textId="7D8A9406">
      <w:pPr>
        <w:spacing w:line="240" w:lineRule="auto"/>
        <w:rPr>
          <w:rFonts w:ascii="Times New Roman" w:hAnsi="Times New Roman" w:eastAsia="Times New Roman" w:cs="Times New Roman"/>
          <w:b/>
          <w:bCs/>
          <w:sz w:val="22"/>
          <w:szCs w:val="22"/>
        </w:rPr>
      </w:pPr>
      <w:r w:rsidRPr="00F631FF">
        <w:rPr>
          <w:rFonts w:ascii="Times New Roman" w:hAnsi="Times New Roman" w:eastAsia="Times New Roman" w:cs="Times New Roman"/>
          <w:b/>
          <w:bCs/>
          <w:sz w:val="22"/>
          <w:szCs w:val="22"/>
        </w:rPr>
        <w:t>HIV pillars</w:t>
      </w:r>
      <w:r w:rsidRPr="00F631FF">
        <w:rPr>
          <w:rFonts w:ascii="Times New Roman" w:hAnsi="Times New Roman" w:eastAsia="Times New Roman" w:cs="Times New Roman"/>
          <w:sz w:val="22"/>
          <w:szCs w:val="22"/>
        </w:rPr>
        <w:t>:</w:t>
      </w:r>
      <w:r w:rsidRPr="00F631FF" w:rsidR="4B295CC3">
        <w:rPr>
          <w:rFonts w:ascii="Times New Roman" w:hAnsi="Times New Roman" w:eastAsia="Times New Roman" w:cs="Times New Roman"/>
          <w:sz w:val="22"/>
          <w:szCs w:val="22"/>
        </w:rPr>
        <w:t xml:space="preserve"> </w:t>
      </w:r>
      <w:r w:rsidRPr="00F631FF" w:rsidR="6F42CBCE">
        <w:rPr>
          <w:rFonts w:ascii="Times New Roman" w:hAnsi="Times New Roman" w:eastAsia="Times New Roman" w:cs="Times New Roman"/>
          <w:sz w:val="22"/>
          <w:szCs w:val="22"/>
        </w:rPr>
        <w:t xml:space="preserve">Diagnose, </w:t>
      </w:r>
      <w:r w:rsidRPr="00F631FF" w:rsidR="7C40AB02">
        <w:rPr>
          <w:rFonts w:ascii="Times New Roman" w:hAnsi="Times New Roman" w:eastAsia="Times New Roman" w:cs="Times New Roman"/>
          <w:sz w:val="22"/>
          <w:szCs w:val="22"/>
        </w:rPr>
        <w:t>Treat</w:t>
      </w:r>
    </w:p>
    <w:p w:rsidRPr="00F631FF" w:rsidR="00165773" w:rsidP="52557DBB" w:rsidRDefault="61AE31F5" w14:paraId="3C01E997" w14:textId="3E9D4EA1">
      <w:pPr>
        <w:spacing w:line="240" w:lineRule="auto"/>
        <w:rPr>
          <w:rFonts w:ascii="Times New Roman" w:hAnsi="Times New Roman" w:eastAsia="Times New Roman" w:cs="Times New Roman"/>
          <w:sz w:val="22"/>
          <w:szCs w:val="22"/>
        </w:rPr>
      </w:pPr>
      <w:r w:rsidRPr="00F631FF">
        <w:rPr>
          <w:rFonts w:ascii="Times New Roman" w:hAnsi="Times New Roman" w:eastAsia="Times New Roman" w:cs="Times New Roman"/>
          <w:b/>
          <w:bCs/>
          <w:sz w:val="22"/>
          <w:szCs w:val="22"/>
        </w:rPr>
        <w:t>Implementation strategies</w:t>
      </w:r>
      <w:r w:rsidRPr="00F631FF">
        <w:rPr>
          <w:rFonts w:ascii="Times New Roman" w:hAnsi="Times New Roman" w:eastAsia="Times New Roman" w:cs="Times New Roman"/>
          <w:sz w:val="22"/>
          <w:szCs w:val="22"/>
        </w:rPr>
        <w:t xml:space="preserve">: </w:t>
      </w:r>
      <w:r w:rsidRPr="00F631FF" w:rsidR="33629787">
        <w:rPr>
          <w:rFonts w:ascii="Times New Roman" w:hAnsi="Times New Roman" w:eastAsia="Times New Roman" w:cs="Times New Roman"/>
          <w:sz w:val="22"/>
          <w:szCs w:val="22"/>
        </w:rPr>
        <w:t>Conditional financial incentives</w:t>
      </w:r>
    </w:p>
    <w:p w:rsidRPr="00F631FF" w:rsidR="00165773" w:rsidP="52557DBB" w:rsidRDefault="61AE31F5" w14:paraId="6C040DE6" w14:textId="5C7FEBA9">
      <w:pPr>
        <w:spacing w:line="240" w:lineRule="auto"/>
        <w:rPr>
          <w:rFonts w:ascii="Times New Roman" w:hAnsi="Times New Roman" w:eastAsia="Times New Roman" w:cs="Times New Roman"/>
          <w:sz w:val="22"/>
          <w:szCs w:val="22"/>
        </w:rPr>
      </w:pPr>
      <w:r w:rsidRPr="00F631FF">
        <w:rPr>
          <w:rFonts w:ascii="Times New Roman" w:hAnsi="Times New Roman" w:eastAsia="Times New Roman" w:cs="Times New Roman"/>
          <w:b/>
          <w:bCs/>
          <w:sz w:val="22"/>
          <w:szCs w:val="22"/>
        </w:rPr>
        <w:t>Where TMF was applied</w:t>
      </w:r>
      <w:r w:rsidRPr="00F631FF">
        <w:rPr>
          <w:rFonts w:ascii="Times New Roman" w:hAnsi="Times New Roman" w:eastAsia="Times New Roman" w:cs="Times New Roman"/>
          <w:sz w:val="22"/>
          <w:szCs w:val="22"/>
        </w:rPr>
        <w:t xml:space="preserve">: </w:t>
      </w:r>
      <w:r w:rsidRPr="00F631FF" w:rsidR="25DAD97E">
        <w:rPr>
          <w:rFonts w:ascii="Times New Roman" w:hAnsi="Times New Roman" w:eastAsia="Times New Roman" w:cs="Times New Roman"/>
          <w:sz w:val="22"/>
          <w:szCs w:val="22"/>
        </w:rPr>
        <w:t>Evaluation structure for study design, intervention development, imple</w:t>
      </w:r>
      <w:r w:rsidRPr="00F631FF" w:rsidR="00F631FF">
        <w:rPr>
          <w:rFonts w:ascii="Times New Roman" w:hAnsi="Times New Roman" w:eastAsia="Times New Roman" w:cs="Times New Roman"/>
          <w:sz w:val="22"/>
          <w:szCs w:val="22"/>
        </w:rPr>
        <w:t>mentatio</w:t>
      </w:r>
      <w:r w:rsidRPr="00F631FF" w:rsidR="25DAD97E">
        <w:rPr>
          <w:rFonts w:ascii="Times New Roman" w:hAnsi="Times New Roman" w:eastAsia="Times New Roman" w:cs="Times New Roman"/>
          <w:sz w:val="22"/>
          <w:szCs w:val="22"/>
        </w:rPr>
        <w:t>n strategies, and evaluation</w:t>
      </w:r>
    </w:p>
    <w:p w:rsidRPr="00F631FF" w:rsidR="00165773" w:rsidP="52557DBB" w:rsidRDefault="61AE31F5" w14:paraId="0784463C" w14:textId="3280A14A">
      <w:pPr>
        <w:spacing w:line="240" w:lineRule="auto"/>
        <w:rPr>
          <w:rFonts w:ascii="Times New Roman" w:hAnsi="Times New Roman" w:eastAsia="Times New Roman" w:cs="Times New Roman"/>
          <w:sz w:val="22"/>
          <w:szCs w:val="22"/>
        </w:rPr>
      </w:pPr>
      <w:r w:rsidRPr="00F631FF">
        <w:rPr>
          <w:rFonts w:ascii="Times New Roman" w:hAnsi="Times New Roman" w:eastAsia="Times New Roman" w:cs="Times New Roman"/>
          <w:b/>
          <w:bCs/>
          <w:sz w:val="22"/>
          <w:szCs w:val="22"/>
        </w:rPr>
        <w:t>How TMF is operationalized</w:t>
      </w:r>
      <w:r w:rsidRPr="00F631FF">
        <w:rPr>
          <w:rFonts w:ascii="Times New Roman" w:hAnsi="Times New Roman" w:eastAsia="Times New Roman" w:cs="Times New Roman"/>
          <w:sz w:val="22"/>
          <w:szCs w:val="22"/>
        </w:rPr>
        <w:t xml:space="preserve">: </w:t>
      </w:r>
      <w:r w:rsidRPr="00F631FF" w:rsidR="69D45A53">
        <w:rPr>
          <w:rFonts w:ascii="Times New Roman" w:hAnsi="Times New Roman" w:eastAsia="Times New Roman" w:cs="Times New Roman"/>
          <w:sz w:val="22"/>
          <w:szCs w:val="22"/>
        </w:rPr>
        <w:t>RE-AIM was analyzed and reported through measures and outcomes detailed across all five dimensions. Reach was measured by the number enrolled among the potentially eligible population; Effectiveness used engagement, retention, and viral suppression rates; Implementation assessed acceptability, feasibility, cost, and barriers (qualitatively through ongoing calls); and Maintenance (sustainability) was assessed qualitatively</w:t>
      </w:r>
      <w:r w:rsidRPr="00F631FF" w:rsidR="00F631FF">
        <w:rPr>
          <w:rFonts w:ascii="Times New Roman" w:hAnsi="Times New Roman" w:eastAsia="Times New Roman" w:cs="Times New Roman"/>
          <w:sz w:val="22"/>
          <w:szCs w:val="22"/>
        </w:rPr>
        <w:t>.</w:t>
      </w:r>
    </w:p>
    <w:p w:rsidRPr="00F631FF" w:rsidR="00F631FF" w:rsidP="6A943638" w:rsidRDefault="61AE31F5" w14:paraId="15FDDF91" w14:textId="4F96F1E8">
      <w:pPr>
        <w:pStyle w:val="NormalWeb"/>
        <w:spacing w:line="240" w:lineRule="auto"/>
        <w:rPr>
          <w:rStyle w:val="relative"/>
          <w:sz w:val="22"/>
          <w:szCs w:val="22"/>
        </w:rPr>
      </w:pPr>
      <w:r w:rsidRPr="6A943638" w:rsidR="61AE31F5">
        <w:rPr>
          <w:b w:val="1"/>
          <w:bCs w:val="1"/>
          <w:sz w:val="22"/>
          <w:szCs w:val="22"/>
        </w:rPr>
        <w:t>Contribution</w:t>
      </w:r>
      <w:r w:rsidRPr="6A943638" w:rsidR="61AE31F5">
        <w:rPr>
          <w:b w:val="1"/>
          <w:bCs w:val="1"/>
          <w:sz w:val="22"/>
          <w:szCs w:val="22"/>
        </w:rPr>
        <w:t xml:space="preserve"> to D&amp;I Science</w:t>
      </w:r>
      <w:r w:rsidRPr="6A943638" w:rsidR="61AE31F5">
        <w:rPr>
          <w:sz w:val="22"/>
          <w:szCs w:val="22"/>
        </w:rPr>
        <w:t>:</w:t>
      </w:r>
      <w:r w:rsidRPr="6A943638" w:rsidR="00F631FF">
        <w:rPr>
          <w:sz w:val="22"/>
          <w:szCs w:val="22"/>
        </w:rPr>
        <w:t xml:space="preserve"> </w:t>
      </w:r>
      <w:r w:rsidRPr="6A943638" w:rsidR="00F631FF">
        <w:rPr>
          <w:sz w:val="22"/>
          <w:szCs w:val="22"/>
        </w:rPr>
        <w:t>This article contributes to D&amp;I science by offering a large</w:t>
      </w:r>
      <w:r w:rsidRPr="6A943638" w:rsidR="00F631FF">
        <w:rPr>
          <w:sz w:val="22"/>
          <w:szCs w:val="22"/>
        </w:rPr>
        <w:t xml:space="preserve"> </w:t>
      </w:r>
      <w:r w:rsidRPr="6A943638" w:rsidR="00F631FF">
        <w:rPr>
          <w:sz w:val="22"/>
          <w:szCs w:val="22"/>
        </w:rPr>
        <w:t xml:space="preserve">implementation evaluation of a conditional financial incentive strategy </w:t>
      </w:r>
      <w:r w:rsidRPr="6A943638" w:rsidR="00F631FF">
        <w:rPr>
          <w:sz w:val="22"/>
          <w:szCs w:val="22"/>
        </w:rPr>
        <w:t>used</w:t>
      </w:r>
      <w:r w:rsidRPr="6A943638" w:rsidR="00F631FF">
        <w:rPr>
          <w:sz w:val="22"/>
          <w:szCs w:val="22"/>
        </w:rPr>
        <w:t xml:space="preserve"> in routine HIV clinical care </w:t>
      </w:r>
      <w:r w:rsidRPr="6A943638" w:rsidR="00F631FF">
        <w:rPr>
          <w:sz w:val="22"/>
          <w:szCs w:val="22"/>
        </w:rPr>
        <w:t>in</w:t>
      </w:r>
      <w:r w:rsidRPr="6A943638" w:rsidR="00F631FF">
        <w:rPr>
          <w:sz w:val="22"/>
          <w:szCs w:val="22"/>
        </w:rPr>
        <w:t xml:space="preserve"> a high-burden Southern U.S. setting. By using RE-AIM alongside specific implementation outcomes </w:t>
      </w:r>
      <w:r w:rsidRPr="6A943638" w:rsidR="55812359">
        <w:rPr>
          <w:sz w:val="22"/>
          <w:szCs w:val="22"/>
        </w:rPr>
        <w:t>(financial</w:t>
      </w:r>
      <w:r w:rsidRPr="6A943638" w:rsidR="2A2BD95D">
        <w:rPr>
          <w:sz w:val="22"/>
          <w:szCs w:val="22"/>
        </w:rPr>
        <w:t xml:space="preserve"> incentive </w:t>
      </w:r>
      <w:r w:rsidRPr="6A943638" w:rsidR="00F631FF">
        <w:rPr>
          <w:sz w:val="22"/>
          <w:szCs w:val="22"/>
        </w:rPr>
        <w:t xml:space="preserve">acceptability, feasibility, cost, </w:t>
      </w:r>
      <w:r w:rsidRPr="6A943638" w:rsidR="687F82F3">
        <w:rPr>
          <w:sz w:val="22"/>
          <w:szCs w:val="22"/>
        </w:rPr>
        <w:t>a</w:t>
      </w:r>
      <w:r w:rsidRPr="6A943638" w:rsidR="687F82F3">
        <w:rPr>
          <w:sz w:val="22"/>
          <w:szCs w:val="22"/>
        </w:rPr>
        <w:t xml:space="preserve">nd </w:t>
      </w:r>
      <w:r w:rsidRPr="6A943638" w:rsidR="687F82F3">
        <w:rPr>
          <w:sz w:val="22"/>
          <w:szCs w:val="22"/>
        </w:rPr>
        <w:t xml:space="preserve">cost </w:t>
      </w:r>
      <w:r w:rsidRPr="6A943638" w:rsidR="687F82F3">
        <w:rPr>
          <w:sz w:val="22"/>
          <w:szCs w:val="22"/>
        </w:rPr>
        <w:t>utility</w:t>
      </w:r>
      <w:r w:rsidRPr="6A943638" w:rsidR="00F631FF">
        <w:rPr>
          <w:sz w:val="22"/>
          <w:szCs w:val="22"/>
        </w:rPr>
        <w:t xml:space="preserve">), the </w:t>
      </w:r>
      <w:r w:rsidRPr="6A943638" w:rsidR="11FBA911">
        <w:rPr>
          <w:sz w:val="22"/>
          <w:szCs w:val="22"/>
        </w:rPr>
        <w:t xml:space="preserve">mixed-method </w:t>
      </w:r>
      <w:r w:rsidRPr="6A943638" w:rsidR="00F631FF">
        <w:rPr>
          <w:sz w:val="22"/>
          <w:szCs w:val="22"/>
        </w:rPr>
        <w:t xml:space="preserve">study </w:t>
      </w:r>
      <w:r w:rsidRPr="6A943638" w:rsidR="00F631FF">
        <w:rPr>
          <w:sz w:val="22"/>
          <w:szCs w:val="22"/>
        </w:rPr>
        <w:t>shows</w:t>
      </w:r>
      <w:r w:rsidRPr="6A943638" w:rsidR="00F631FF">
        <w:rPr>
          <w:sz w:val="22"/>
          <w:szCs w:val="22"/>
        </w:rPr>
        <w:t xml:space="preserve"> how incentives </w:t>
      </w:r>
      <w:r w:rsidRPr="6A943638" w:rsidR="00F631FF">
        <w:rPr>
          <w:sz w:val="22"/>
          <w:szCs w:val="22"/>
        </w:rPr>
        <w:t>can be used</w:t>
      </w:r>
      <w:r w:rsidRPr="6A943638" w:rsidR="00F631FF">
        <w:rPr>
          <w:sz w:val="22"/>
          <w:szCs w:val="22"/>
        </w:rPr>
        <w:t xml:space="preserve"> as an implementation strategy to influence care engagement behaviors. The work also </w:t>
      </w:r>
      <w:r w:rsidRPr="6A943638" w:rsidR="00F631FF">
        <w:rPr>
          <w:sz w:val="22"/>
          <w:szCs w:val="22"/>
        </w:rPr>
        <w:t>provides</w:t>
      </w:r>
      <w:r w:rsidRPr="6A943638" w:rsidR="00F631FF">
        <w:rPr>
          <w:sz w:val="22"/>
          <w:szCs w:val="22"/>
        </w:rPr>
        <w:t xml:space="preserve"> evidence on economic-strengthening approaches for HIV care, providing detailed specification of the strategy (</w:t>
      </w:r>
      <w:r w:rsidRPr="6A943638" w:rsidR="3B7FD92A">
        <w:rPr>
          <w:sz w:val="22"/>
          <w:szCs w:val="22"/>
        </w:rPr>
        <w:t xml:space="preserve">the </w:t>
      </w:r>
      <w:r w:rsidRPr="6A943638" w:rsidR="00F631FF">
        <w:rPr>
          <w:sz w:val="22"/>
          <w:szCs w:val="22"/>
        </w:rPr>
        <w:t xml:space="preserve">actors, </w:t>
      </w:r>
      <w:r w:rsidRPr="6A943638" w:rsidR="76A875E2">
        <w:rPr>
          <w:sz w:val="22"/>
          <w:szCs w:val="22"/>
        </w:rPr>
        <w:t xml:space="preserve">the action, action target, </w:t>
      </w:r>
      <w:r w:rsidRPr="6A943638" w:rsidR="00F631FF">
        <w:rPr>
          <w:sz w:val="22"/>
          <w:szCs w:val="22"/>
        </w:rPr>
        <w:t>temporality,</w:t>
      </w:r>
      <w:r w:rsidRPr="6A943638" w:rsidR="7E7D7724">
        <w:rPr>
          <w:sz w:val="22"/>
          <w:szCs w:val="22"/>
        </w:rPr>
        <w:t xml:space="preserve"> and dose</w:t>
      </w:r>
      <w:r w:rsidRPr="6A943638" w:rsidR="00F631FF">
        <w:rPr>
          <w:sz w:val="22"/>
          <w:szCs w:val="22"/>
        </w:rPr>
        <w:t xml:space="preserve">) that </w:t>
      </w:r>
      <w:r w:rsidRPr="6A943638" w:rsidR="00F631FF">
        <w:rPr>
          <w:sz w:val="22"/>
          <w:szCs w:val="22"/>
        </w:rPr>
        <w:t>helps</w:t>
      </w:r>
      <w:r w:rsidRPr="6A943638" w:rsidR="00F631FF">
        <w:rPr>
          <w:sz w:val="22"/>
          <w:szCs w:val="22"/>
        </w:rPr>
        <w:t xml:space="preserve"> reproducibility and cross-study comparison. </w:t>
      </w:r>
      <w:r>
        <w:br/>
      </w:r>
    </w:p>
    <w:p w:rsidRPr="00F631FF" w:rsidR="00165773" w:rsidP="00F631FF" w:rsidRDefault="00F631FF" w14:paraId="2C078E63" w14:textId="2C77F79D">
      <w:pPr>
        <w:pStyle w:val="not-prose"/>
        <w:rPr>
          <w:sz w:val="22"/>
          <w:szCs w:val="22"/>
        </w:rPr>
      </w:pPr>
      <w:r w:rsidRPr="1B712705" w:rsidR="00F631FF">
        <w:rPr>
          <w:sz w:val="22"/>
          <w:szCs w:val="22"/>
        </w:rPr>
        <w:t>T</w:t>
      </w:r>
      <w:r w:rsidRPr="1B712705" w:rsidR="00F631FF">
        <w:rPr>
          <w:sz w:val="22"/>
          <w:szCs w:val="22"/>
        </w:rPr>
        <w:t xml:space="preserve">he study </w:t>
      </w:r>
      <w:r w:rsidRPr="1B712705" w:rsidR="00F631FF">
        <w:rPr>
          <w:sz w:val="22"/>
          <w:szCs w:val="22"/>
        </w:rPr>
        <w:t>shows</w:t>
      </w:r>
      <w:r w:rsidRPr="1B712705" w:rsidR="00F631FF">
        <w:rPr>
          <w:sz w:val="22"/>
          <w:szCs w:val="22"/>
        </w:rPr>
        <w:t xml:space="preserve"> that </w:t>
      </w:r>
      <w:r w:rsidRPr="1B712705" w:rsidR="4D4C6F6C">
        <w:rPr>
          <w:sz w:val="22"/>
          <w:szCs w:val="22"/>
        </w:rPr>
        <w:t xml:space="preserve">conditional financial incentives may help support engagement and retention in HIV care but not </w:t>
      </w:r>
      <w:r w:rsidRPr="1B712705" w:rsidR="00F631FF">
        <w:rPr>
          <w:sz w:val="22"/>
          <w:szCs w:val="22"/>
        </w:rPr>
        <w:t>viral suppression</w:t>
      </w:r>
      <w:r w:rsidRPr="1B712705" w:rsidR="00F631FF">
        <w:rPr>
          <w:sz w:val="22"/>
          <w:szCs w:val="22"/>
        </w:rPr>
        <w:t xml:space="preserve">. The unexpected suppression decline, </w:t>
      </w:r>
      <w:r w:rsidRPr="1B712705" w:rsidR="00F631FF">
        <w:rPr>
          <w:sz w:val="22"/>
          <w:szCs w:val="22"/>
        </w:rPr>
        <w:t>paired</w:t>
      </w:r>
      <w:r w:rsidRPr="1B712705" w:rsidR="00F631FF">
        <w:rPr>
          <w:sz w:val="22"/>
          <w:szCs w:val="22"/>
        </w:rPr>
        <w:t xml:space="preserve"> with documented structural vulnerabilities (unstable housing, incarceration history, </w:t>
      </w:r>
      <w:r w:rsidRPr="1B712705" w:rsidR="00F631FF">
        <w:rPr>
          <w:sz w:val="22"/>
          <w:szCs w:val="22"/>
        </w:rPr>
        <w:t>COVID</w:t>
      </w:r>
      <w:r w:rsidRPr="1B712705" w:rsidR="00F631FF">
        <w:rPr>
          <w:sz w:val="22"/>
          <w:szCs w:val="22"/>
        </w:rPr>
        <w:t xml:space="preserve">-related access barriers), </w:t>
      </w:r>
      <w:r w:rsidRPr="1B712705" w:rsidR="00F631FF">
        <w:rPr>
          <w:sz w:val="22"/>
          <w:szCs w:val="22"/>
        </w:rPr>
        <w:t>shows</w:t>
      </w:r>
      <w:r w:rsidRPr="1B712705" w:rsidR="00F631FF">
        <w:rPr>
          <w:sz w:val="22"/>
          <w:szCs w:val="22"/>
        </w:rPr>
        <w:t xml:space="preserve"> how outer-context </w:t>
      </w:r>
      <w:r w:rsidRPr="1B712705" w:rsidR="00F631FF">
        <w:rPr>
          <w:sz w:val="22"/>
          <w:szCs w:val="22"/>
        </w:rPr>
        <w:t>factors</w:t>
      </w:r>
      <w:r w:rsidRPr="1B712705" w:rsidR="00F631FF">
        <w:rPr>
          <w:sz w:val="22"/>
          <w:szCs w:val="22"/>
        </w:rPr>
        <w:t xml:space="preserve"> and social determinants can override individual-level incentive effects. </w:t>
      </w:r>
      <w:r w:rsidRPr="1B712705" w:rsidR="00F631FF">
        <w:rPr>
          <w:sz w:val="22"/>
          <w:szCs w:val="22"/>
        </w:rPr>
        <w:t>Including</w:t>
      </w:r>
      <w:r w:rsidRPr="1B712705" w:rsidR="00F631FF">
        <w:rPr>
          <w:sz w:val="22"/>
          <w:szCs w:val="22"/>
        </w:rPr>
        <w:t xml:space="preserve"> cost-utility and threshold analyses expands D&amp;I science by treating cost </w:t>
      </w:r>
      <w:r w:rsidRPr="1B712705" w:rsidR="00F631FF">
        <w:rPr>
          <w:sz w:val="22"/>
          <w:szCs w:val="22"/>
        </w:rPr>
        <w:t xml:space="preserve">as a </w:t>
      </w:r>
      <w:r w:rsidRPr="1B712705" w:rsidR="00F631FF">
        <w:rPr>
          <w:sz w:val="22"/>
          <w:szCs w:val="22"/>
        </w:rPr>
        <w:t xml:space="preserve">critical implementation outcome, </w:t>
      </w:r>
      <w:r w:rsidRPr="1B712705" w:rsidR="00F631FF">
        <w:rPr>
          <w:sz w:val="22"/>
          <w:szCs w:val="22"/>
        </w:rPr>
        <w:t>show</w:t>
      </w:r>
      <w:r w:rsidRPr="1B712705" w:rsidR="00F631FF">
        <w:rPr>
          <w:sz w:val="22"/>
          <w:szCs w:val="22"/>
        </w:rPr>
        <w:t xml:space="preserve">ing how decision-makers might </w:t>
      </w:r>
      <w:r w:rsidRPr="1B712705" w:rsidR="00F631FF">
        <w:rPr>
          <w:sz w:val="22"/>
          <w:szCs w:val="22"/>
        </w:rPr>
        <w:t>determine</w:t>
      </w:r>
      <w:r w:rsidRPr="1B712705" w:rsidR="00F631FF">
        <w:rPr>
          <w:sz w:val="22"/>
          <w:szCs w:val="22"/>
        </w:rPr>
        <w:t xml:space="preserve"> value even when clinical </w:t>
      </w:r>
      <w:r w:rsidRPr="1B712705" w:rsidR="00F631FF">
        <w:rPr>
          <w:sz w:val="22"/>
          <w:szCs w:val="22"/>
        </w:rPr>
        <w:t>results</w:t>
      </w:r>
      <w:r w:rsidRPr="1B712705" w:rsidR="00F631FF">
        <w:rPr>
          <w:sz w:val="22"/>
          <w:szCs w:val="22"/>
        </w:rPr>
        <w:t xml:space="preserve"> are mixed.</w:t>
      </w:r>
      <w:r w:rsidRPr="1B712705" w:rsidR="1EB9735D">
        <w:rPr>
          <w:sz w:val="22"/>
          <w:szCs w:val="22"/>
        </w:rPr>
        <w:t xml:space="preserve"> </w:t>
      </w:r>
      <w:r w:rsidRPr="1B712705" w:rsidR="1EB9735D">
        <w:rPr>
          <w:sz w:val="22"/>
          <w:szCs w:val="22"/>
        </w:rPr>
        <w:t>The article also notes that retrie</w:t>
      </w:r>
      <w:r w:rsidRPr="1B712705" w:rsidR="1EB9735D">
        <w:rPr>
          <w:sz w:val="22"/>
          <w:szCs w:val="22"/>
        </w:rPr>
        <w:t>ving</w:t>
      </w:r>
      <w:r w:rsidRPr="1B712705" w:rsidR="1EB9735D">
        <w:rPr>
          <w:sz w:val="22"/>
          <w:szCs w:val="22"/>
        </w:rPr>
        <w:t xml:space="preserve"> data across implementation sites may b</w:t>
      </w:r>
      <w:r w:rsidRPr="1B712705" w:rsidR="2DCAF037">
        <w:rPr>
          <w:sz w:val="22"/>
          <w:szCs w:val="22"/>
        </w:rPr>
        <w:t xml:space="preserve">e </w:t>
      </w:r>
      <w:r w:rsidRPr="1B712705" w:rsidR="2DCAF037">
        <w:rPr>
          <w:sz w:val="22"/>
          <w:szCs w:val="22"/>
        </w:rPr>
        <w:t>facilitated</w:t>
      </w:r>
      <w:r w:rsidRPr="1B712705" w:rsidR="2DCAF037">
        <w:rPr>
          <w:sz w:val="22"/>
          <w:szCs w:val="22"/>
        </w:rPr>
        <w:t xml:space="preserve"> by a more systematic assessment of implementation and </w:t>
      </w:r>
      <w:r w:rsidRPr="1B712705" w:rsidR="2DCAF037">
        <w:rPr>
          <w:sz w:val="22"/>
          <w:szCs w:val="22"/>
        </w:rPr>
        <w:t>evaluation</w:t>
      </w:r>
      <w:r w:rsidRPr="1B712705" w:rsidR="2DCAF037">
        <w:rPr>
          <w:sz w:val="22"/>
          <w:szCs w:val="22"/>
        </w:rPr>
        <w:t xml:space="preserve"> readiness prior to </w:t>
      </w:r>
      <w:r w:rsidRPr="1B712705" w:rsidR="10DD5410">
        <w:rPr>
          <w:sz w:val="22"/>
          <w:szCs w:val="22"/>
        </w:rPr>
        <w:t xml:space="preserve">the </w:t>
      </w:r>
      <w:r w:rsidRPr="1B712705" w:rsidR="2DCAF037">
        <w:rPr>
          <w:sz w:val="22"/>
          <w:szCs w:val="22"/>
        </w:rPr>
        <w:t>implementation</w:t>
      </w:r>
      <w:r w:rsidRPr="1B712705" w:rsidR="54F168E6">
        <w:rPr>
          <w:sz w:val="22"/>
          <w:szCs w:val="22"/>
        </w:rPr>
        <w:t xml:space="preserve"> phase</w:t>
      </w:r>
      <w:r w:rsidRPr="1B712705" w:rsidR="2DCAF037">
        <w:rPr>
          <w:sz w:val="22"/>
          <w:szCs w:val="22"/>
        </w:rPr>
        <w:t>.</w:t>
      </w:r>
    </w:p>
    <w:sectPr w:rsidRPr="00F631FF" w:rsidR="00165773">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5B079"/>
    <w:multiLevelType w:val="hybridMultilevel"/>
    <w:tmpl w:val="361C528E"/>
    <w:lvl w:ilvl="0" w:tplc="8540903E">
      <w:start w:val="1"/>
      <w:numFmt w:val="bullet"/>
      <w:lvlText w:val=""/>
      <w:lvlJc w:val="left"/>
      <w:pPr>
        <w:ind w:left="720" w:hanging="360"/>
      </w:pPr>
      <w:rPr>
        <w:rFonts w:hint="default" w:ascii="Symbol" w:hAnsi="Symbol"/>
      </w:rPr>
    </w:lvl>
    <w:lvl w:ilvl="1" w:tplc="2D463A18">
      <w:start w:val="1"/>
      <w:numFmt w:val="bullet"/>
      <w:lvlText w:val="o"/>
      <w:lvlJc w:val="left"/>
      <w:pPr>
        <w:ind w:left="1440" w:hanging="360"/>
      </w:pPr>
      <w:rPr>
        <w:rFonts w:hint="default" w:ascii="Courier New" w:hAnsi="Courier New"/>
      </w:rPr>
    </w:lvl>
    <w:lvl w:ilvl="2" w:tplc="1B1437F6">
      <w:start w:val="1"/>
      <w:numFmt w:val="bullet"/>
      <w:lvlText w:val=""/>
      <w:lvlJc w:val="left"/>
      <w:pPr>
        <w:ind w:left="2160" w:hanging="360"/>
      </w:pPr>
      <w:rPr>
        <w:rFonts w:hint="default" w:ascii="Wingdings" w:hAnsi="Wingdings"/>
      </w:rPr>
    </w:lvl>
    <w:lvl w:ilvl="3" w:tplc="6AEA2406">
      <w:start w:val="1"/>
      <w:numFmt w:val="bullet"/>
      <w:lvlText w:val=""/>
      <w:lvlJc w:val="left"/>
      <w:pPr>
        <w:ind w:left="2880" w:hanging="360"/>
      </w:pPr>
      <w:rPr>
        <w:rFonts w:hint="default" w:ascii="Symbol" w:hAnsi="Symbol"/>
      </w:rPr>
    </w:lvl>
    <w:lvl w:ilvl="4" w:tplc="85D25814">
      <w:start w:val="1"/>
      <w:numFmt w:val="bullet"/>
      <w:lvlText w:val="o"/>
      <w:lvlJc w:val="left"/>
      <w:pPr>
        <w:ind w:left="3600" w:hanging="360"/>
      </w:pPr>
      <w:rPr>
        <w:rFonts w:hint="default" w:ascii="Courier New" w:hAnsi="Courier New"/>
      </w:rPr>
    </w:lvl>
    <w:lvl w:ilvl="5" w:tplc="62B0596E">
      <w:start w:val="1"/>
      <w:numFmt w:val="bullet"/>
      <w:lvlText w:val=""/>
      <w:lvlJc w:val="left"/>
      <w:pPr>
        <w:ind w:left="4320" w:hanging="360"/>
      </w:pPr>
      <w:rPr>
        <w:rFonts w:hint="default" w:ascii="Wingdings" w:hAnsi="Wingdings"/>
      </w:rPr>
    </w:lvl>
    <w:lvl w:ilvl="6" w:tplc="2E782364">
      <w:start w:val="1"/>
      <w:numFmt w:val="bullet"/>
      <w:lvlText w:val=""/>
      <w:lvlJc w:val="left"/>
      <w:pPr>
        <w:ind w:left="5040" w:hanging="360"/>
      </w:pPr>
      <w:rPr>
        <w:rFonts w:hint="default" w:ascii="Symbol" w:hAnsi="Symbol"/>
      </w:rPr>
    </w:lvl>
    <w:lvl w:ilvl="7" w:tplc="2A9AD446">
      <w:start w:val="1"/>
      <w:numFmt w:val="bullet"/>
      <w:lvlText w:val="o"/>
      <w:lvlJc w:val="left"/>
      <w:pPr>
        <w:ind w:left="5760" w:hanging="360"/>
      </w:pPr>
      <w:rPr>
        <w:rFonts w:hint="default" w:ascii="Courier New" w:hAnsi="Courier New"/>
      </w:rPr>
    </w:lvl>
    <w:lvl w:ilvl="8" w:tplc="031A7C46">
      <w:start w:val="1"/>
      <w:numFmt w:val="bullet"/>
      <w:lvlText w:val=""/>
      <w:lvlJc w:val="left"/>
      <w:pPr>
        <w:ind w:left="6480" w:hanging="360"/>
      </w:pPr>
      <w:rPr>
        <w:rFonts w:hint="default" w:ascii="Wingdings" w:hAnsi="Wingdings"/>
      </w:rPr>
    </w:lvl>
  </w:abstractNum>
  <w:num w:numId="1" w16cid:durableId="1117793066">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EE7B40"/>
    <w:rsid w:val="00165773"/>
    <w:rsid w:val="00450E42"/>
    <w:rsid w:val="00680CD1"/>
    <w:rsid w:val="006C764B"/>
    <w:rsid w:val="00B95716"/>
    <w:rsid w:val="00F631FF"/>
    <w:rsid w:val="013C3324"/>
    <w:rsid w:val="07CBC5D3"/>
    <w:rsid w:val="0897EC92"/>
    <w:rsid w:val="0B16884A"/>
    <w:rsid w:val="0CFC0E36"/>
    <w:rsid w:val="0E49F729"/>
    <w:rsid w:val="0F195B0D"/>
    <w:rsid w:val="0FC8C98F"/>
    <w:rsid w:val="10DD5410"/>
    <w:rsid w:val="1187515F"/>
    <w:rsid w:val="11D9F453"/>
    <w:rsid w:val="11FBA911"/>
    <w:rsid w:val="1387CB96"/>
    <w:rsid w:val="17C10F8A"/>
    <w:rsid w:val="183933A1"/>
    <w:rsid w:val="18C5417C"/>
    <w:rsid w:val="1A54AA55"/>
    <w:rsid w:val="1B712705"/>
    <w:rsid w:val="1C4D257B"/>
    <w:rsid w:val="1EB9735D"/>
    <w:rsid w:val="1FFB3866"/>
    <w:rsid w:val="2059F9A7"/>
    <w:rsid w:val="25DAD97E"/>
    <w:rsid w:val="25EC4798"/>
    <w:rsid w:val="2748E981"/>
    <w:rsid w:val="27BC73AB"/>
    <w:rsid w:val="2A2BD95D"/>
    <w:rsid w:val="2CD23467"/>
    <w:rsid w:val="2DCAF037"/>
    <w:rsid w:val="33500FA1"/>
    <w:rsid w:val="33629787"/>
    <w:rsid w:val="387E64E7"/>
    <w:rsid w:val="38B3FD21"/>
    <w:rsid w:val="3B7FD92A"/>
    <w:rsid w:val="3B850315"/>
    <w:rsid w:val="3DAAD9EC"/>
    <w:rsid w:val="3DB87B00"/>
    <w:rsid w:val="3F0E6E04"/>
    <w:rsid w:val="3F10D3B3"/>
    <w:rsid w:val="40738A05"/>
    <w:rsid w:val="45F022BF"/>
    <w:rsid w:val="46E0E6F0"/>
    <w:rsid w:val="4878B8B6"/>
    <w:rsid w:val="49FA64EE"/>
    <w:rsid w:val="4B295CC3"/>
    <w:rsid w:val="4D4C6F6C"/>
    <w:rsid w:val="4EAB39D2"/>
    <w:rsid w:val="4F610099"/>
    <w:rsid w:val="4FCF7F03"/>
    <w:rsid w:val="50EF82F7"/>
    <w:rsid w:val="52557DBB"/>
    <w:rsid w:val="525CBE5D"/>
    <w:rsid w:val="539F8BE4"/>
    <w:rsid w:val="54ABD9F4"/>
    <w:rsid w:val="54F168E6"/>
    <w:rsid w:val="55812359"/>
    <w:rsid w:val="55D55899"/>
    <w:rsid w:val="57480C2C"/>
    <w:rsid w:val="59ED50FE"/>
    <w:rsid w:val="5D178687"/>
    <w:rsid w:val="5DEE7B40"/>
    <w:rsid w:val="5E4AF114"/>
    <w:rsid w:val="619A219D"/>
    <w:rsid w:val="61AE31F5"/>
    <w:rsid w:val="62474435"/>
    <w:rsid w:val="673457C7"/>
    <w:rsid w:val="682D9A9C"/>
    <w:rsid w:val="687F82F3"/>
    <w:rsid w:val="69D45A53"/>
    <w:rsid w:val="6A943638"/>
    <w:rsid w:val="6BDE0B32"/>
    <w:rsid w:val="6F42CBCE"/>
    <w:rsid w:val="70269446"/>
    <w:rsid w:val="70B56C37"/>
    <w:rsid w:val="76A875E2"/>
    <w:rsid w:val="775A7C35"/>
    <w:rsid w:val="77E0CE96"/>
    <w:rsid w:val="782CE63F"/>
    <w:rsid w:val="78C916B2"/>
    <w:rsid w:val="7A5C26D4"/>
    <w:rsid w:val="7C40AB02"/>
    <w:rsid w:val="7C85CCB3"/>
    <w:rsid w:val="7E7D7724"/>
    <w:rsid w:val="7E969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52557DBB"/>
    <w:pPr>
      <w:ind w:left="720"/>
      <w:contextualSpacing/>
    </w:pPr>
  </w:style>
  <w:style w:type="paragraph" w:styleId="NormalWeb">
    <w:name w:val="Normal (Web)"/>
    <w:basedOn w:val="Normal"/>
    <w:uiPriority w:val="99"/>
    <w:unhideWhenUsed/>
    <w:rsid w:val="00B95716"/>
    <w:pPr>
      <w:spacing w:before="100" w:beforeAutospacing="1" w:after="100" w:afterAutospacing="1" w:line="240" w:lineRule="auto"/>
    </w:pPr>
    <w:rPr>
      <w:rFonts w:ascii="Times New Roman" w:hAnsi="Times New Roman" w:eastAsia="Times New Roman" w:cs="Times New Roman"/>
      <w:lang w:eastAsia="en-US"/>
    </w:rPr>
  </w:style>
  <w:style w:type="character" w:styleId="relative" w:customStyle="1">
    <w:name w:val="relative"/>
    <w:basedOn w:val="DefaultParagraphFont"/>
    <w:rsid w:val="00B95716"/>
  </w:style>
  <w:style w:type="paragraph" w:styleId="not-prose" w:customStyle="1">
    <w:name w:val="not-prose"/>
    <w:basedOn w:val="Normal"/>
    <w:rsid w:val="00B95716"/>
    <w:pPr>
      <w:spacing w:before="100" w:beforeAutospacing="1" w:after="100" w:afterAutospacing="1" w:line="240" w:lineRule="auto"/>
    </w:pPr>
    <w:rPr>
      <w:rFonts w:ascii="Times New Roman" w:hAnsi="Times New Roman" w:eastAsia="Times New Roman" w:cs="Times New Roman"/>
      <w:lang w:eastAsia="en-US"/>
    </w:rPr>
  </w:style>
</w:styles>
</file>

<file path=word/tasks.xml><?xml version="1.0" encoding="utf-8"?>
<t:Tasks xmlns:t="http://schemas.microsoft.com/office/tasks/2019/documenttasks" xmlns:oel="http://schemas.microsoft.com/office/2019/extlst">
  <t:Task id="{B7003456-3AAD-4B41-B0E8-2458B73CBC44}">
    <t:Anchor>
      <t:Comment id="1356961562"/>
    </t:Anchor>
    <t:History>
      <t:Event id="{DCFF2B24-3393-44F8-BD64-6F780DC09831}" time="2025-11-26T16:42:35.777Z">
        <t:Attribution userId="S::cmgeremia@health.ucsd.edu::c86de92a-8aef-4622-b3bb-576d5cfbb3c6" userProvider="AD" userName="Geremia, Carrie"/>
        <t:Anchor>
          <t:Comment id="1356961562"/>
        </t:Anchor>
        <t:Create/>
      </t:Event>
      <t:Event id="{39EB42DF-622D-4488-A3F0-3F5BAB1B72AB}" time="2025-11-26T16:42:35.777Z">
        <t:Attribution userId="S::cmgeremia@health.ucsd.edu::c86de92a-8aef-4622-b3bb-576d5cfbb3c6" userProvider="AD" userName="Geremia, Carrie"/>
        <t:Anchor>
          <t:Comment id="1356961562"/>
        </t:Anchor>
        <t:Assign userId="S::jlmontoy@health.ucsd.edu::37fcc423-0fd1-4722-a3be-713f4626f8bd" userProvider="AD" userName="Montoya, Jessica"/>
      </t:Event>
      <t:Event id="{24D28DE9-FCCC-4A9D-93E7-86281CECF8B5}" time="2025-11-26T16:42:35.777Z">
        <t:Attribution userId="S::cmgeremia@health.ucsd.edu::c86de92a-8aef-4622-b3bb-576d5cfbb3c6" userProvider="AD" userName="Geremia, Carrie"/>
        <t:Anchor>
          <t:Comment id="1356961562"/>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130876">
      <w:bodyDiv w:val="1"/>
      <w:marLeft w:val="0"/>
      <w:marRight w:val="0"/>
      <w:marTop w:val="0"/>
      <w:marBottom w:val="0"/>
      <w:divBdr>
        <w:top w:val="none" w:sz="0" w:space="0" w:color="auto"/>
        <w:left w:val="none" w:sz="0" w:space="0" w:color="auto"/>
        <w:bottom w:val="none" w:sz="0" w:space="0" w:color="auto"/>
        <w:right w:val="none" w:sz="0" w:space="0" w:color="auto"/>
      </w:divBdr>
    </w:div>
    <w:div w:id="532613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microsoft.com/office/2011/relationships/people" Target="people.xml" Id="Rf5f10926160148a5" /><Relationship Type="http://schemas.microsoft.com/office/2011/relationships/commentsExtended" Target="commentsExtended.xml" Id="R00ca61e6cd7445c6" /><Relationship Type="http://schemas.microsoft.com/office/2016/09/relationships/commentsIds" Target="commentsIds.xml" Id="R80e521f91440493f" /><Relationship Type="http://schemas.microsoft.com/office/2019/05/relationships/documenttasks" Target="tasks.xml" Id="R5f944ce3cedb40e7"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FEFD7344-81FD-4074-9560-17671A61415B}"/>
</file>

<file path=customXml/itemProps2.xml><?xml version="1.0" encoding="utf-8"?>
<ds:datastoreItem xmlns:ds="http://schemas.openxmlformats.org/officeDocument/2006/customXml" ds:itemID="{0F3D373C-7AED-4319-8598-064E6ECF3AE7}"/>
</file>

<file path=customXml/itemProps3.xml><?xml version="1.0" encoding="utf-8"?>
<ds:datastoreItem xmlns:ds="http://schemas.openxmlformats.org/officeDocument/2006/customXml" ds:itemID="{3E12FF34-9A7B-4AFD-ACD7-11F050903D7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revision>8</revision>
  <dcterms:created xsi:type="dcterms:W3CDTF">2025-11-26T16:24:00.0000000Z</dcterms:created>
  <dcterms:modified xsi:type="dcterms:W3CDTF">2025-12-09T16:12:33.0822817Z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