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tasks.xml" ContentType="application/vnd.ms-office.documenttask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220FF" w:rsidP="52557DBB" w:rsidRDefault="61AE31F5" w14:paraId="3C712C18" w14:textId="10BBA7B1">
      <w:pPr>
        <w:spacing w:after="240" w:line="240" w:lineRule="auto"/>
        <w:rPr>
          <w:rFonts w:ascii="Times New Roman" w:hAnsi="Times New Roman" w:eastAsia="Times New Roman" w:cs="Times New Roman"/>
          <w:b/>
          <w:bCs/>
          <w:sz w:val="22"/>
          <w:szCs w:val="22"/>
        </w:rPr>
      </w:pPr>
      <w:r w:rsidRPr="3F0E6E04">
        <w:rPr>
          <w:rFonts w:ascii="Times New Roman" w:hAnsi="Times New Roman" w:eastAsia="Times New Roman" w:cs="Times New Roman"/>
          <w:b/>
          <w:bCs/>
          <w:sz w:val="22"/>
          <w:szCs w:val="22"/>
        </w:rPr>
        <w:t xml:space="preserve">Case Example: </w:t>
      </w:r>
      <w:r w:rsidRPr="3F0E6E04" w:rsidR="539F8BE4">
        <w:rPr>
          <w:rFonts w:ascii="Times New Roman" w:hAnsi="Times New Roman" w:eastAsia="Times New Roman" w:cs="Times New Roman"/>
          <w:b/>
          <w:bCs/>
          <w:sz w:val="22"/>
          <w:szCs w:val="22"/>
        </w:rPr>
        <w:t>RE-AIM</w:t>
      </w:r>
    </w:p>
    <w:p w:rsidR="007220FF" w:rsidP="52557DBB" w:rsidRDefault="61AE31F5" w14:paraId="73F48047" w14:textId="33F1B0B9">
      <w:pPr>
        <w:spacing w:after="24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3F0E6E04">
        <w:rPr>
          <w:rFonts w:ascii="Times New Roman" w:hAnsi="Times New Roman" w:eastAsia="Times New Roman" w:cs="Times New Roman"/>
          <w:b/>
          <w:bCs/>
          <w:sz w:val="22"/>
          <w:szCs w:val="22"/>
        </w:rPr>
        <w:t>Full citation</w:t>
      </w:r>
      <w:r w:rsidRPr="3F0E6E04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3F0E6E04" w:rsidR="38B3FD21">
        <w:rPr>
          <w:rFonts w:ascii="Times New Roman" w:hAnsi="Times New Roman" w:eastAsia="Times New Roman" w:cs="Times New Roman"/>
          <w:sz w:val="22"/>
          <w:szCs w:val="22"/>
        </w:rPr>
        <w:t xml:space="preserve">Cama, E., Beadman, K., Beadman, M. et al. Insights from the scale-up and implementation of the Deadly Liver Mob program across nine sites in New South Wales, Australia, according to the RE-AIM framework. Harm </w:t>
      </w:r>
      <w:proofErr w:type="spellStart"/>
      <w:r w:rsidRPr="3F0E6E04" w:rsidR="38B3FD21">
        <w:rPr>
          <w:rFonts w:ascii="Times New Roman" w:hAnsi="Times New Roman" w:eastAsia="Times New Roman" w:cs="Times New Roman"/>
          <w:sz w:val="22"/>
          <w:szCs w:val="22"/>
        </w:rPr>
        <w:t>Reduct</w:t>
      </w:r>
      <w:proofErr w:type="spellEnd"/>
      <w:r w:rsidRPr="3F0E6E04" w:rsidR="38B3FD21">
        <w:rPr>
          <w:rFonts w:ascii="Times New Roman" w:hAnsi="Times New Roman" w:eastAsia="Times New Roman" w:cs="Times New Roman"/>
          <w:sz w:val="22"/>
          <w:szCs w:val="22"/>
        </w:rPr>
        <w:t xml:space="preserve"> J 20, 154 (2023). https://doi.org/10.1186/s12954-023-00889-5</w:t>
      </w:r>
    </w:p>
    <w:p w:rsidRPr="00C923DB" w:rsidR="00C923DB" w:rsidP="00C923DB" w:rsidRDefault="61AE31F5" w14:paraId="0B893623" w14:textId="1E4B8905">
      <w:pPr>
        <w:pStyle w:val="NormalWeb"/>
        <w:rPr>
          <w:rStyle w:val="relative"/>
          <w:sz w:val="22"/>
          <w:szCs w:val="22"/>
        </w:rPr>
      </w:pPr>
      <w:r w:rsidRPr="225BC9DB" w:rsidR="61AE31F5">
        <w:rPr>
          <w:b w:val="1"/>
          <w:bCs w:val="1"/>
          <w:sz w:val="22"/>
          <w:szCs w:val="22"/>
        </w:rPr>
        <w:t>Overview</w:t>
      </w:r>
      <w:r w:rsidRPr="225BC9DB" w:rsidR="61AE31F5">
        <w:rPr>
          <w:sz w:val="22"/>
          <w:szCs w:val="22"/>
        </w:rPr>
        <w:t xml:space="preserve">: </w:t>
      </w:r>
      <w:r w:rsidRPr="225BC9DB" w:rsidR="00C923DB">
        <w:rPr>
          <w:sz w:val="22"/>
          <w:szCs w:val="22"/>
        </w:rPr>
        <w:t xml:space="preserve">This article explores the scale-up and implementation of the </w:t>
      </w:r>
      <w:r w:rsidRPr="225BC9DB" w:rsidR="00C923DB">
        <w:rPr>
          <w:rStyle w:val="Strong"/>
          <w:b w:val="0"/>
          <w:bCs w:val="0"/>
          <w:sz w:val="22"/>
          <w:szCs w:val="22"/>
        </w:rPr>
        <w:t>Deadly Liver Mob (DLM)</w:t>
      </w:r>
      <w:r w:rsidRPr="225BC9DB" w:rsidR="00C923DB">
        <w:rPr>
          <w:sz w:val="22"/>
          <w:szCs w:val="22"/>
        </w:rPr>
        <w:t xml:space="preserve"> program, a peer-led, incentivized health promotion intervention designed to improve Aboriginal and Torres Strait Islander peoples’ access to screening, treatment, and prevention services for blood-borne viruses</w:t>
      </w:r>
      <w:r w:rsidRPr="225BC9DB" w:rsidR="00C923DB">
        <w:rPr>
          <w:sz w:val="22"/>
          <w:szCs w:val="22"/>
        </w:rPr>
        <w:t xml:space="preserve"> </w:t>
      </w:r>
      <w:r w:rsidRPr="225BC9DB" w:rsidR="00C923DB">
        <w:rPr>
          <w:sz w:val="22"/>
          <w:szCs w:val="22"/>
        </w:rPr>
        <w:t xml:space="preserve">and sexually transmissible infections. After </w:t>
      </w:r>
      <w:r w:rsidRPr="225BC9DB" w:rsidR="00C923DB">
        <w:rPr>
          <w:sz w:val="22"/>
          <w:szCs w:val="22"/>
        </w:rPr>
        <w:t>demonstrating</w:t>
      </w:r>
      <w:r w:rsidRPr="225BC9DB" w:rsidR="00C923DB">
        <w:rPr>
          <w:sz w:val="22"/>
          <w:szCs w:val="22"/>
        </w:rPr>
        <w:t xml:space="preserve"> success in two pilot sites, DLM was expanded to </w:t>
      </w:r>
      <w:r w:rsidRPr="225BC9DB" w:rsidR="00C923DB">
        <w:rPr>
          <w:rStyle w:val="Strong"/>
          <w:b w:val="0"/>
          <w:bCs w:val="0"/>
          <w:sz w:val="22"/>
          <w:szCs w:val="22"/>
        </w:rPr>
        <w:t>nine sites across seven Local Health Districts in New South Wales, Australia</w:t>
      </w:r>
      <w:r w:rsidRPr="225BC9DB" w:rsidR="00C923DB">
        <w:rPr>
          <w:b w:val="1"/>
          <w:bCs w:val="1"/>
          <w:sz w:val="22"/>
          <w:szCs w:val="22"/>
        </w:rPr>
        <w:t xml:space="preserve">, </w:t>
      </w:r>
      <w:r w:rsidRPr="225BC9DB" w:rsidR="00C923DB">
        <w:rPr>
          <w:sz w:val="22"/>
          <w:szCs w:val="22"/>
        </w:rPr>
        <w:t xml:space="preserve">including metropolitan, regional, and rural locations. The authors </w:t>
      </w:r>
      <w:r w:rsidRPr="225BC9DB" w:rsidR="00C923DB">
        <w:rPr>
          <w:sz w:val="22"/>
          <w:szCs w:val="22"/>
        </w:rPr>
        <w:t>conducted</w:t>
      </w:r>
      <w:r w:rsidRPr="225BC9DB" w:rsidR="00C923DB">
        <w:rPr>
          <w:sz w:val="22"/>
          <w:szCs w:val="22"/>
        </w:rPr>
        <w:t xml:space="preserve"> qualitative interviews with </w:t>
      </w:r>
      <w:r w:rsidRPr="225BC9DB" w:rsidR="00C923DB">
        <w:rPr>
          <w:rStyle w:val="Strong"/>
          <w:b w:val="0"/>
          <w:bCs w:val="0"/>
          <w:sz w:val="22"/>
          <w:szCs w:val="22"/>
        </w:rPr>
        <w:t>33 Aboriginal and Torres Strait Islander clients</w:t>
      </w:r>
      <w:r w:rsidRPr="225BC9DB" w:rsidR="00C923DB">
        <w:rPr>
          <w:b w:val="1"/>
          <w:bCs w:val="1"/>
          <w:sz w:val="22"/>
          <w:szCs w:val="22"/>
        </w:rPr>
        <w:t xml:space="preserve"> </w:t>
      </w:r>
      <w:r w:rsidRPr="225BC9DB" w:rsidR="00C923DB">
        <w:rPr>
          <w:sz w:val="22"/>
          <w:szCs w:val="22"/>
        </w:rPr>
        <w:t>and</w:t>
      </w:r>
      <w:r w:rsidRPr="225BC9DB" w:rsidR="00C923DB">
        <w:rPr>
          <w:b w:val="1"/>
          <w:bCs w:val="1"/>
          <w:sz w:val="22"/>
          <w:szCs w:val="22"/>
        </w:rPr>
        <w:t xml:space="preserve"> </w:t>
      </w:r>
      <w:r w:rsidRPr="225BC9DB" w:rsidR="00C923DB">
        <w:rPr>
          <w:rStyle w:val="Strong"/>
          <w:b w:val="0"/>
          <w:bCs w:val="0"/>
          <w:sz w:val="22"/>
          <w:szCs w:val="22"/>
        </w:rPr>
        <w:t>15 staff</w:t>
      </w:r>
      <w:r w:rsidRPr="225BC9DB" w:rsidR="00C923DB">
        <w:rPr>
          <w:sz w:val="22"/>
          <w:szCs w:val="22"/>
        </w:rPr>
        <w:t xml:space="preserve"> (frontline Aboriginal workers, clinicians, and managers) and used the</w:t>
      </w:r>
      <w:r w:rsidRPr="225BC9DB" w:rsidR="00C923DB">
        <w:rPr>
          <w:b w:val="1"/>
          <w:bCs w:val="1"/>
          <w:sz w:val="22"/>
          <w:szCs w:val="22"/>
        </w:rPr>
        <w:t xml:space="preserve"> </w:t>
      </w:r>
      <w:r w:rsidRPr="225BC9DB" w:rsidR="00C923DB">
        <w:rPr>
          <w:rStyle w:val="Strong"/>
          <w:b w:val="0"/>
          <w:bCs w:val="0"/>
          <w:sz w:val="22"/>
          <w:szCs w:val="22"/>
        </w:rPr>
        <w:t>RE-AIM framework</w:t>
      </w:r>
      <w:r w:rsidRPr="225BC9DB" w:rsidR="00C923DB">
        <w:rPr>
          <w:sz w:val="22"/>
          <w:szCs w:val="22"/>
        </w:rPr>
        <w:t xml:space="preserve"> (Reach, Effectiveness, Adoption, I</w:t>
      </w:r>
      <w:r w:rsidRPr="225BC9DB" w:rsidR="00C923DB">
        <w:rPr>
          <w:sz w:val="22"/>
          <w:szCs w:val="22"/>
        </w:rPr>
        <w:t xml:space="preserve">mplementation, Maintenance) to structure analysis of what supported or </w:t>
      </w:r>
      <w:r w:rsidRPr="225BC9DB" w:rsidR="00C923DB">
        <w:rPr>
          <w:sz w:val="22"/>
          <w:szCs w:val="22"/>
        </w:rPr>
        <w:t>stymied</w:t>
      </w:r>
      <w:r w:rsidRPr="225BC9DB" w:rsidR="00C923DB">
        <w:rPr>
          <w:sz w:val="22"/>
          <w:szCs w:val="22"/>
        </w:rPr>
        <w:t xml:space="preserve"> scale-up. </w:t>
      </w:r>
      <w:r>
        <w:br/>
      </w:r>
    </w:p>
    <w:p w:rsidRPr="00C923DB" w:rsidR="007220FF" w:rsidP="00C923DB" w:rsidRDefault="00C923DB" w14:paraId="572186F2" w14:textId="56EEE983">
      <w:pPr>
        <w:pStyle w:val="NormalWeb"/>
        <w:rPr>
          <w:sz w:val="22"/>
          <w:szCs w:val="22"/>
        </w:rPr>
      </w:pPr>
      <w:r w:rsidRPr="64565B7F" w:rsidR="00C923DB">
        <w:rPr>
          <w:sz w:val="22"/>
          <w:szCs w:val="22"/>
        </w:rPr>
        <w:t xml:space="preserve">Across RE-AIM domains, participants emphasized that DLM’s effectiveness and reach were driven by its </w:t>
      </w:r>
      <w:r w:rsidRPr="64565B7F" w:rsidR="00C923DB">
        <w:rPr>
          <w:sz w:val="22"/>
          <w:szCs w:val="22"/>
        </w:rPr>
        <w:t>use</w:t>
      </w:r>
      <w:r w:rsidRPr="64565B7F" w:rsidR="00C923DB">
        <w:rPr>
          <w:sz w:val="22"/>
          <w:szCs w:val="22"/>
        </w:rPr>
        <w:t xml:space="preserve"> of a </w:t>
      </w:r>
      <w:r w:rsidRPr="64565B7F" w:rsidR="00C923DB">
        <w:rPr>
          <w:rStyle w:val="Strong"/>
          <w:b w:val="0"/>
          <w:bCs w:val="0"/>
          <w:sz w:val="22"/>
          <w:szCs w:val="22"/>
        </w:rPr>
        <w:t>culturally safe environment</w:t>
      </w:r>
      <w:r w:rsidRPr="64565B7F" w:rsidR="00C923DB">
        <w:rPr>
          <w:rStyle w:val="Strong"/>
          <w:b w:val="0"/>
          <w:bCs w:val="0"/>
          <w:sz w:val="22"/>
          <w:szCs w:val="22"/>
        </w:rPr>
        <w:t>. This environment was created</w:t>
      </w:r>
      <w:r w:rsidRPr="64565B7F" w:rsidR="00C923DB">
        <w:rPr>
          <w:sz w:val="22"/>
          <w:szCs w:val="22"/>
        </w:rPr>
        <w:t xml:space="preserve"> especially through employing Aboriginal frontline workers who built trust and served as bridges to mainstream services, alongside incentive vouchers that </w:t>
      </w:r>
      <w:r w:rsidRPr="64565B7F" w:rsidR="00C923DB">
        <w:rPr>
          <w:sz w:val="22"/>
          <w:szCs w:val="22"/>
        </w:rPr>
        <w:t xml:space="preserve">helped </w:t>
      </w:r>
      <w:r w:rsidRPr="64565B7F" w:rsidR="00C923DB">
        <w:rPr>
          <w:sz w:val="22"/>
          <w:szCs w:val="22"/>
        </w:rPr>
        <w:t>motivate participation and follow-through. Adoption and implementation varied by setting: sites with co-located needle-syringe programs and sexual health clinics had smoother referral pathways, while regional/rural sites faced barriers such as long travel distances, limited transport, and challenges contacting clients for follow-up</w:t>
      </w:r>
      <w:r w:rsidRPr="64565B7F" w:rsidR="00C923DB">
        <w:rPr>
          <w:sz w:val="22"/>
          <w:szCs w:val="22"/>
        </w:rPr>
        <w:t>. These challenges</w:t>
      </w:r>
      <w:r w:rsidRPr="64565B7F" w:rsidR="00C923DB">
        <w:rPr>
          <w:sz w:val="22"/>
          <w:szCs w:val="22"/>
        </w:rPr>
        <w:t xml:space="preserve"> prompt</w:t>
      </w:r>
      <w:r w:rsidRPr="64565B7F" w:rsidR="00C923DB">
        <w:rPr>
          <w:sz w:val="22"/>
          <w:szCs w:val="22"/>
        </w:rPr>
        <w:t>ed</w:t>
      </w:r>
      <w:r w:rsidRPr="64565B7F" w:rsidR="00C923DB">
        <w:rPr>
          <w:sz w:val="22"/>
          <w:szCs w:val="22"/>
        </w:rPr>
        <w:t xml:space="preserve"> adaptations </w:t>
      </w:r>
      <w:r w:rsidRPr="64565B7F" w:rsidR="00C923DB">
        <w:rPr>
          <w:sz w:val="22"/>
          <w:szCs w:val="22"/>
        </w:rPr>
        <w:t xml:space="preserve">such as </w:t>
      </w:r>
      <w:r w:rsidRPr="64565B7F" w:rsidR="00C923DB">
        <w:rPr>
          <w:sz w:val="22"/>
          <w:szCs w:val="22"/>
        </w:rPr>
        <w:t xml:space="preserve">outreach/mobile delivery and </w:t>
      </w:r>
      <w:r w:rsidRPr="64565B7F" w:rsidR="00C923DB">
        <w:rPr>
          <w:sz w:val="22"/>
          <w:szCs w:val="22"/>
        </w:rPr>
        <w:t>modifying</w:t>
      </w:r>
      <w:r w:rsidRPr="64565B7F" w:rsidR="00C923DB">
        <w:rPr>
          <w:sz w:val="22"/>
          <w:szCs w:val="22"/>
        </w:rPr>
        <w:t xml:space="preserve"> incentive schedules. Maintenance concerns centered on sustaining funding for incentives and </w:t>
      </w:r>
      <w:r w:rsidRPr="64565B7F" w:rsidR="00C923DB">
        <w:rPr>
          <w:sz w:val="22"/>
          <w:szCs w:val="22"/>
        </w:rPr>
        <w:t>retaining</w:t>
      </w:r>
      <w:r w:rsidRPr="64565B7F" w:rsidR="00C923DB">
        <w:rPr>
          <w:sz w:val="22"/>
          <w:szCs w:val="22"/>
        </w:rPr>
        <w:t xml:space="preserve"> a designated Aboriginal workforce</w:t>
      </w:r>
      <w:r w:rsidRPr="64565B7F" w:rsidR="00C923DB">
        <w:rPr>
          <w:sz w:val="22"/>
          <w:szCs w:val="22"/>
        </w:rPr>
        <w:t xml:space="preserve">. </w:t>
      </w:r>
      <w:r w:rsidRPr="64565B7F" w:rsidR="00C923DB">
        <w:rPr>
          <w:sz w:val="22"/>
          <w:szCs w:val="22"/>
        </w:rPr>
        <w:t>COVID-19 caus</w:t>
      </w:r>
      <w:r w:rsidRPr="64565B7F" w:rsidR="00C923DB">
        <w:rPr>
          <w:sz w:val="22"/>
          <w:szCs w:val="22"/>
        </w:rPr>
        <w:t>ed</w:t>
      </w:r>
      <w:r w:rsidRPr="64565B7F" w:rsidR="00C923DB">
        <w:rPr>
          <w:sz w:val="22"/>
          <w:szCs w:val="22"/>
        </w:rPr>
        <w:t xml:space="preserve"> temporary disruptions but also reinforc</w:t>
      </w:r>
      <w:r w:rsidRPr="64565B7F" w:rsidR="00C923DB">
        <w:rPr>
          <w:sz w:val="22"/>
          <w:szCs w:val="22"/>
        </w:rPr>
        <w:t>ed</w:t>
      </w:r>
      <w:r w:rsidRPr="64565B7F" w:rsidR="00C923DB">
        <w:rPr>
          <w:sz w:val="22"/>
          <w:szCs w:val="22"/>
        </w:rPr>
        <w:t xml:space="preserve"> the need for flexible delivery. Overall, the study concludes that DLM is a highly acceptable, equity-advancing approach to BBV/STI care for Aboriginal communities, but long-term scale-up depends on adaptable models, stable resources, and ongoing investment in Aboriginal health workers</w:t>
      </w:r>
      <w:r w:rsidRPr="64565B7F" w:rsidR="00C923DB">
        <w:rPr>
          <w:sz w:val="22"/>
          <w:szCs w:val="22"/>
        </w:rPr>
        <w:t>.</w:t>
      </w:r>
      <w:r>
        <w:br/>
      </w:r>
    </w:p>
    <w:p w:rsidR="007220FF" w:rsidP="52557DBB" w:rsidRDefault="61AE31F5" w14:paraId="098068AC" w14:textId="4CA3ADB9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3F0E6E04">
        <w:rPr>
          <w:rFonts w:ascii="Times New Roman" w:hAnsi="Times New Roman" w:eastAsia="Times New Roman" w:cs="Times New Roman"/>
          <w:b/>
          <w:bCs/>
          <w:sz w:val="22"/>
          <w:szCs w:val="22"/>
        </w:rPr>
        <w:t>Population</w:t>
      </w:r>
      <w:r w:rsidRPr="3F0E6E04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3F0E6E04" w:rsidR="7C85CCB3">
        <w:rPr>
          <w:rFonts w:ascii="Times New Roman" w:hAnsi="Times New Roman" w:eastAsia="Times New Roman" w:cs="Times New Roman"/>
          <w:sz w:val="22"/>
          <w:szCs w:val="22"/>
        </w:rPr>
        <w:t>Aboriginal and Torres Strait Islander Australians who have injected drugs or are at risk of injecting drugs, or are “at risk” for blood-borne viruses or sexually transmissible infections</w:t>
      </w:r>
    </w:p>
    <w:p w:rsidR="007220FF" w:rsidP="52557DBB" w:rsidRDefault="61AE31F5" w14:paraId="0FC4CFE7" w14:textId="3D1D7DCE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49807C38">
        <w:rPr>
          <w:rFonts w:ascii="Times New Roman" w:hAnsi="Times New Roman" w:eastAsia="Times New Roman" w:cs="Times New Roman"/>
          <w:b/>
          <w:bCs/>
          <w:sz w:val="22"/>
          <w:szCs w:val="22"/>
        </w:rPr>
        <w:t>Topic</w:t>
      </w:r>
      <w:r w:rsidRPr="49807C38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49807C38" w:rsidR="5169930C">
        <w:rPr>
          <w:rFonts w:ascii="Times New Roman" w:hAnsi="Times New Roman" w:eastAsia="Times New Roman" w:cs="Times New Roman"/>
          <w:sz w:val="22"/>
          <w:szCs w:val="22"/>
        </w:rPr>
        <w:t>The scale-up and implementation of the peer-led, incentivized Deadly Liver Mob (DLM) program to improve access to screening and treatment for BBVs and STIs</w:t>
      </w:r>
    </w:p>
    <w:p w:rsidR="007220FF" w:rsidP="52557DBB" w:rsidRDefault="61AE31F5" w14:paraId="2E32C2F4" w14:textId="4A00B2E5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3F0E6E04">
        <w:rPr>
          <w:rFonts w:ascii="Times New Roman" w:hAnsi="Times New Roman" w:eastAsia="Times New Roman" w:cs="Times New Roman"/>
          <w:b/>
          <w:bCs/>
          <w:sz w:val="22"/>
          <w:szCs w:val="22"/>
        </w:rPr>
        <w:t>Setting</w:t>
      </w:r>
      <w:r w:rsidRPr="3F0E6E04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3F0E6E04" w:rsidR="673457C7">
        <w:rPr>
          <w:rFonts w:ascii="Times New Roman" w:hAnsi="Times New Roman" w:eastAsia="Times New Roman" w:cs="Times New Roman"/>
          <w:sz w:val="22"/>
          <w:szCs w:val="22"/>
        </w:rPr>
        <w:t>Nine sites across seven Local Health Districts (LHDs) in New South Wales (NSW), Australia (including metropolitan and regional/remote areas).</w:t>
      </w:r>
    </w:p>
    <w:p w:rsidR="007220FF" w:rsidP="52557DBB" w:rsidRDefault="61AE31F5" w14:paraId="58A71D7E" w14:textId="448FDB0C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64565B7F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Type of Study</w:t>
      </w:r>
      <w:r w:rsidRPr="64565B7F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64565B7F" w:rsidR="619A219D">
        <w:rPr>
          <w:rFonts w:ascii="Times New Roman" w:hAnsi="Times New Roman" w:eastAsia="Times New Roman" w:cs="Times New Roman"/>
          <w:sz w:val="22"/>
          <w:szCs w:val="22"/>
        </w:rPr>
        <w:t>Mixed Methods</w:t>
      </w:r>
    </w:p>
    <w:p w:rsidR="007220FF" w:rsidP="52557DBB" w:rsidRDefault="61AE31F5" w14:paraId="1C7B7897" w14:textId="578F79D9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64565B7F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Framework(s)</w:t>
      </w:r>
      <w:r w:rsidRPr="64565B7F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64565B7F" w:rsidR="7A5C26D4">
        <w:rPr>
          <w:rFonts w:ascii="Times New Roman" w:hAnsi="Times New Roman" w:eastAsia="Times New Roman" w:cs="Times New Roman"/>
          <w:sz w:val="22"/>
          <w:szCs w:val="22"/>
        </w:rPr>
        <w:t>RE-AIM</w:t>
      </w:r>
    </w:p>
    <w:p w:rsidR="007220FF" w:rsidP="52557DBB" w:rsidRDefault="61AE31F5" w14:paraId="6ABEC1C9" w14:textId="2D315D85">
      <w:pPr>
        <w:spacing w:after="0"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64565B7F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Implementation stage</w:t>
      </w:r>
      <w:r w:rsidRPr="64565B7F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64565B7F" w:rsidR="48037478">
        <w:rPr>
          <w:rFonts w:ascii="Times New Roman" w:hAnsi="Times New Roman" w:eastAsia="Times New Roman" w:cs="Times New Roman"/>
          <w:sz w:val="22"/>
          <w:szCs w:val="22"/>
        </w:rPr>
        <w:t xml:space="preserve">Scale-up and </w:t>
      </w:r>
      <w:r w:rsidRPr="64565B7F" w:rsidR="662B5B55">
        <w:rPr>
          <w:rFonts w:ascii="Times New Roman" w:hAnsi="Times New Roman" w:eastAsia="Times New Roman" w:cs="Times New Roman"/>
          <w:sz w:val="22"/>
          <w:szCs w:val="22"/>
        </w:rPr>
        <w:t xml:space="preserve">implementation </w:t>
      </w:r>
    </w:p>
    <w:p w:rsidR="007220FF" w:rsidP="52557DBB" w:rsidRDefault="61AE31F5" w14:paraId="605DCDA9" w14:textId="4087FBAF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>
        <w:br/>
      </w:r>
      <w:r w:rsidRPr="64565B7F" w:rsidR="61AE31F5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Community partnership focus</w:t>
      </w:r>
      <w:r w:rsidRPr="64565B7F" w:rsidR="61AE31F5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64565B7F" w:rsidR="5ECCA3EB">
        <w:rPr>
          <w:rFonts w:ascii="Times New Roman" w:hAnsi="Times New Roman" w:eastAsia="Times New Roman" w:cs="Times New Roman"/>
          <w:sz w:val="22"/>
          <w:szCs w:val="22"/>
        </w:rPr>
        <w:t>Partnership with Aboriginal and Torres Strait Islander people</w:t>
      </w:r>
    </w:p>
    <w:p w:rsidR="61AE31F5" w:rsidP="3F0E6E04" w:rsidRDefault="61AE31F5" w14:paraId="7FE59FEB" w14:textId="2DBD2FE4">
      <w:pPr>
        <w:spacing w:line="240" w:lineRule="auto"/>
        <w:rPr>
          <w:rFonts w:ascii="Times New Roman" w:hAnsi="Times New Roman" w:eastAsia="Times New Roman" w:cs="Times New Roman"/>
          <w:b/>
          <w:bCs/>
          <w:sz w:val="22"/>
          <w:szCs w:val="22"/>
        </w:rPr>
      </w:pPr>
      <w:r w:rsidRPr="3F0E6E04">
        <w:rPr>
          <w:rFonts w:ascii="Times New Roman" w:hAnsi="Times New Roman" w:eastAsia="Times New Roman" w:cs="Times New Roman"/>
          <w:b/>
          <w:bCs/>
          <w:sz w:val="22"/>
          <w:szCs w:val="22"/>
        </w:rPr>
        <w:t>HIV pillars</w:t>
      </w:r>
      <w:r w:rsidRPr="3F0E6E04">
        <w:rPr>
          <w:rFonts w:ascii="Times New Roman" w:hAnsi="Times New Roman" w:eastAsia="Times New Roman" w:cs="Times New Roman"/>
          <w:sz w:val="22"/>
          <w:szCs w:val="22"/>
        </w:rPr>
        <w:t>:</w:t>
      </w:r>
      <w:r w:rsidRPr="3F0E6E04" w:rsidR="4B295CC3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00C923DB" w:rsidR="6F42CBCE">
        <w:rPr>
          <w:rFonts w:ascii="Times New Roman" w:hAnsi="Times New Roman" w:eastAsia="Times New Roman" w:cs="Times New Roman"/>
          <w:sz w:val="22"/>
          <w:szCs w:val="22"/>
        </w:rPr>
        <w:t>Diagnose, Prevent</w:t>
      </w:r>
    </w:p>
    <w:p w:rsidR="007220FF" w:rsidP="52557DBB" w:rsidRDefault="61AE31F5" w14:paraId="3C01E997" w14:textId="6CCC6A5C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49807C38">
        <w:rPr>
          <w:rFonts w:ascii="Times New Roman" w:hAnsi="Times New Roman" w:eastAsia="Times New Roman" w:cs="Times New Roman"/>
          <w:b/>
          <w:bCs/>
          <w:sz w:val="22"/>
          <w:szCs w:val="22"/>
        </w:rPr>
        <w:t>Implementation strategies</w:t>
      </w:r>
      <w:r w:rsidRPr="49807C38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49807C38" w:rsidR="57E8A303">
        <w:rPr>
          <w:rFonts w:ascii="Times New Roman" w:hAnsi="Times New Roman" w:eastAsia="Times New Roman" w:cs="Times New Roman"/>
          <w:sz w:val="22"/>
          <w:szCs w:val="22"/>
        </w:rPr>
        <w:t>Peer-led health promotion, providing a culturally safe and sensitive environment, employment of Aboriginal and Torress Strait workers,</w:t>
      </w:r>
      <w:r w:rsidRPr="49807C38" w:rsidR="6DDA7EF7">
        <w:rPr>
          <w:rFonts w:ascii="Times New Roman" w:hAnsi="Times New Roman" w:eastAsia="Times New Roman" w:cs="Times New Roman"/>
          <w:sz w:val="22"/>
          <w:szCs w:val="22"/>
        </w:rPr>
        <w:t xml:space="preserve"> normal incentives,</w:t>
      </w:r>
      <w:r w:rsidRPr="49807C38" w:rsidR="57E8A303">
        <w:rPr>
          <w:rFonts w:ascii="Times New Roman" w:hAnsi="Times New Roman" w:eastAsia="Times New Roman" w:cs="Times New Roman"/>
          <w:sz w:val="22"/>
          <w:szCs w:val="22"/>
        </w:rPr>
        <w:t xml:space="preserve"> adaptable and flexible</w:t>
      </w:r>
    </w:p>
    <w:p w:rsidR="007220FF" w:rsidP="52557DBB" w:rsidRDefault="61AE31F5" w14:paraId="2BA34ED6" w14:textId="06C72691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49807C38">
        <w:rPr>
          <w:rFonts w:ascii="Times New Roman" w:hAnsi="Times New Roman" w:eastAsia="Times New Roman" w:cs="Times New Roman"/>
          <w:b/>
          <w:bCs/>
          <w:sz w:val="22"/>
          <w:szCs w:val="22"/>
        </w:rPr>
        <w:t>Where TMF was applied</w:t>
      </w:r>
      <w:r w:rsidRPr="49807C38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49807C38" w:rsidR="43B2EE4C">
        <w:rPr>
          <w:rFonts w:ascii="Times New Roman" w:hAnsi="Times New Roman" w:eastAsia="Times New Roman" w:cs="Times New Roman"/>
          <w:sz w:val="22"/>
          <w:szCs w:val="22"/>
        </w:rPr>
        <w:t>Evaluation framework</w:t>
      </w:r>
    </w:p>
    <w:p w:rsidRPr="000B01D2" w:rsidR="007220FF" w:rsidP="52557DBB" w:rsidRDefault="61AE31F5" w14:paraId="2004DD3C" w14:textId="16F00C02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  <w:r w:rsidRPr="49807C38">
        <w:rPr>
          <w:rFonts w:ascii="Times New Roman" w:hAnsi="Times New Roman" w:eastAsia="Times New Roman" w:cs="Times New Roman"/>
          <w:b/>
          <w:bCs/>
          <w:sz w:val="22"/>
          <w:szCs w:val="22"/>
        </w:rPr>
        <w:lastRenderedPageBreak/>
        <w:t>How TMF is operationalized</w:t>
      </w:r>
      <w:r w:rsidRPr="49807C38">
        <w:rPr>
          <w:rFonts w:ascii="Times New Roman" w:hAnsi="Times New Roman" w:eastAsia="Times New Roman" w:cs="Times New Roman"/>
          <w:sz w:val="22"/>
          <w:szCs w:val="22"/>
        </w:rPr>
        <w:t xml:space="preserve">: </w:t>
      </w:r>
      <w:r w:rsidRPr="49807C38" w:rsidR="2546FE76">
        <w:rPr>
          <w:rFonts w:ascii="Times New Roman" w:hAnsi="Times New Roman" w:eastAsia="Times New Roman" w:cs="Times New Roman"/>
          <w:sz w:val="22"/>
          <w:szCs w:val="22"/>
        </w:rPr>
        <w:t>The qualitative data gathered from staff and client interviews were analyzed in relation to the five dimensions of RE-AIM. Insights gained were specifically grouped and presented under</w:t>
      </w:r>
      <w:r w:rsidRPr="49807C38" w:rsidR="438DBD6C">
        <w:rPr>
          <w:rFonts w:ascii="Times New Roman" w:hAnsi="Times New Roman" w:eastAsia="Times New Roman" w:cs="Times New Roman"/>
          <w:sz w:val="22"/>
          <w:szCs w:val="22"/>
        </w:rPr>
        <w:t xml:space="preserve"> the RE-AIM</w:t>
      </w:r>
      <w:r w:rsidRPr="49807C38" w:rsidR="2546FE76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49807C38" w:rsidR="604242CA">
        <w:rPr>
          <w:rFonts w:ascii="Times New Roman" w:hAnsi="Times New Roman" w:eastAsia="Times New Roman" w:cs="Times New Roman"/>
          <w:sz w:val="22"/>
          <w:szCs w:val="22"/>
        </w:rPr>
        <w:t xml:space="preserve">to </w:t>
      </w:r>
      <w:r w:rsidRPr="49807C38" w:rsidR="2546FE76">
        <w:rPr>
          <w:rFonts w:ascii="Times New Roman" w:hAnsi="Times New Roman" w:eastAsia="Times New Roman" w:cs="Times New Roman"/>
          <w:sz w:val="22"/>
          <w:szCs w:val="22"/>
        </w:rPr>
        <w:t>structure the discussion of real-world challenges and successes</w:t>
      </w:r>
      <w:r w:rsidRPr="49807C38" w:rsidR="5B20568A">
        <w:rPr>
          <w:rFonts w:ascii="Times New Roman" w:hAnsi="Times New Roman" w:eastAsia="Times New Roman" w:cs="Times New Roman"/>
          <w:sz w:val="22"/>
          <w:szCs w:val="22"/>
        </w:rPr>
        <w:t>.</w:t>
      </w:r>
    </w:p>
    <w:p w:rsidRPr="00C923DB" w:rsidR="00C923DB" w:rsidP="00C923DB" w:rsidRDefault="61AE31F5" w14:paraId="6D615E86" w14:textId="06169ABF">
      <w:pPr>
        <w:pStyle w:val="NormalWeb"/>
        <w:rPr>
          <w:rStyle w:val="relative"/>
          <w:sz w:val="22"/>
          <w:szCs w:val="22"/>
        </w:rPr>
      </w:pPr>
      <w:commentRangeStart w:id="83253076"/>
      <w:r w:rsidRPr="225BC9DB" w:rsidR="4CFAD0C6">
        <w:rPr>
          <w:b w:val="1"/>
          <w:bCs w:val="1"/>
          <w:sz w:val="22"/>
          <w:szCs w:val="22"/>
        </w:rPr>
        <w:t>Contribution</w:t>
      </w:r>
      <w:commentRangeEnd w:id="83253076"/>
      <w:r>
        <w:rPr>
          <w:rStyle w:val="CommentReference"/>
        </w:rPr>
        <w:commentReference w:id="83253076"/>
      </w:r>
      <w:r w:rsidRPr="225BC9DB" w:rsidR="4CFAD0C6">
        <w:rPr>
          <w:b w:val="1"/>
          <w:bCs w:val="1"/>
          <w:sz w:val="22"/>
          <w:szCs w:val="22"/>
        </w:rPr>
        <w:t xml:space="preserve"> to D&amp;I Science</w:t>
      </w:r>
      <w:r w:rsidRPr="225BC9DB" w:rsidR="4CFAD0C6">
        <w:rPr>
          <w:sz w:val="22"/>
          <w:szCs w:val="22"/>
        </w:rPr>
        <w:t>:</w:t>
      </w:r>
      <w:r w:rsidRPr="225BC9DB" w:rsidR="61CF8A7E">
        <w:rPr>
          <w:sz w:val="22"/>
          <w:szCs w:val="22"/>
        </w:rPr>
        <w:t xml:space="preserve"> </w:t>
      </w:r>
      <w:r w:rsidRPr="225BC9DB" w:rsidR="61CF8A7E">
        <w:rPr>
          <w:sz w:val="22"/>
          <w:szCs w:val="22"/>
        </w:rPr>
        <w:t xml:space="preserve">This article contributes to D&amp;I science by </w:t>
      </w:r>
      <w:r w:rsidRPr="225BC9DB" w:rsidR="6BA19104">
        <w:rPr>
          <w:sz w:val="22"/>
          <w:szCs w:val="22"/>
        </w:rPr>
        <w:t>exploring the success and challenges of implementing</w:t>
      </w:r>
      <w:r w:rsidRPr="225BC9DB" w:rsidR="6BA19104">
        <w:rPr>
          <w:sz w:val="22"/>
          <w:szCs w:val="22"/>
        </w:rPr>
        <w:t xml:space="preserve"> an </w:t>
      </w:r>
      <w:r w:rsidRPr="225BC9DB" w:rsidR="61CF8A7E">
        <w:rPr>
          <w:sz w:val="22"/>
          <w:szCs w:val="22"/>
        </w:rPr>
        <w:t>Indigenous-led, peer-delivered health promotion intervention</w:t>
      </w:r>
      <w:r w:rsidRPr="225BC9DB" w:rsidR="51066FE0">
        <w:rPr>
          <w:sz w:val="22"/>
          <w:szCs w:val="22"/>
        </w:rPr>
        <w:t xml:space="preserve"> (The Deadly Liver Mob, DLM</w:t>
      </w:r>
      <w:r w:rsidRPr="225BC9DB" w:rsidR="51066FE0">
        <w:rPr>
          <w:sz w:val="22"/>
          <w:szCs w:val="22"/>
        </w:rPr>
        <w:t>)</w:t>
      </w:r>
      <w:r w:rsidRPr="225BC9DB" w:rsidR="61CF8A7E">
        <w:rPr>
          <w:sz w:val="22"/>
          <w:szCs w:val="22"/>
        </w:rPr>
        <w:t xml:space="preserve"> </w:t>
      </w:r>
      <w:r w:rsidRPr="225BC9DB" w:rsidR="61CF8A7E">
        <w:rPr>
          <w:rStyle w:val="Strong"/>
          <w:b w:val="0"/>
          <w:bCs w:val="0"/>
          <w:sz w:val="22"/>
          <w:szCs w:val="22"/>
        </w:rPr>
        <w:t>across diverse real-world settings</w:t>
      </w:r>
      <w:r w:rsidRPr="225BC9DB" w:rsidR="61CF8A7E">
        <w:rPr>
          <w:b w:val="1"/>
          <w:bCs w:val="1"/>
          <w:sz w:val="22"/>
          <w:szCs w:val="22"/>
        </w:rPr>
        <w:t xml:space="preserve">. </w:t>
      </w:r>
      <w:r w:rsidRPr="225BC9DB" w:rsidR="61CF8A7E">
        <w:rPr>
          <w:sz w:val="22"/>
          <w:szCs w:val="22"/>
        </w:rPr>
        <w:t>Using</w:t>
      </w:r>
      <w:r w:rsidRPr="225BC9DB" w:rsidR="61CF8A7E">
        <w:rPr>
          <w:b w:val="1"/>
          <w:bCs w:val="1"/>
          <w:sz w:val="22"/>
          <w:szCs w:val="22"/>
        </w:rPr>
        <w:t xml:space="preserve"> </w:t>
      </w:r>
      <w:r w:rsidRPr="225BC9DB" w:rsidR="61CF8A7E">
        <w:rPr>
          <w:rStyle w:val="Strong"/>
          <w:b w:val="0"/>
          <w:bCs w:val="0"/>
          <w:sz w:val="22"/>
          <w:szCs w:val="22"/>
        </w:rPr>
        <w:t>RE-AIM</w:t>
      </w:r>
      <w:r w:rsidRPr="225BC9DB" w:rsidR="61CF8A7E">
        <w:rPr>
          <w:sz w:val="22"/>
          <w:szCs w:val="22"/>
        </w:rPr>
        <w:t xml:space="preserve"> to </w:t>
      </w:r>
      <w:r w:rsidRPr="225BC9DB" w:rsidR="66A790ED">
        <w:rPr>
          <w:sz w:val="22"/>
          <w:szCs w:val="22"/>
        </w:rPr>
        <w:t>guide the evaluation of mixed-method data collected</w:t>
      </w:r>
      <w:r w:rsidRPr="225BC9DB" w:rsidR="61CF8A7E">
        <w:rPr>
          <w:sz w:val="22"/>
          <w:szCs w:val="22"/>
        </w:rPr>
        <w:t xml:space="preserve"> from clients and staff</w:t>
      </w:r>
      <w:r w:rsidRPr="225BC9DB" w:rsidR="495BE817">
        <w:rPr>
          <w:sz w:val="22"/>
          <w:szCs w:val="22"/>
        </w:rPr>
        <w:t xml:space="preserve"> of the DLM program</w:t>
      </w:r>
      <w:r w:rsidRPr="225BC9DB" w:rsidR="61CF8A7E">
        <w:rPr>
          <w:sz w:val="22"/>
          <w:szCs w:val="22"/>
        </w:rPr>
        <w:t xml:space="preserve">, the study </w:t>
      </w:r>
      <w:r w:rsidRPr="225BC9DB" w:rsidR="79F763CF">
        <w:rPr>
          <w:sz w:val="22"/>
          <w:szCs w:val="22"/>
        </w:rPr>
        <w:t>explores</w:t>
      </w:r>
      <w:r w:rsidRPr="225BC9DB" w:rsidR="61CF8A7E">
        <w:rPr>
          <w:sz w:val="22"/>
          <w:szCs w:val="22"/>
        </w:rPr>
        <w:t xml:space="preserve"> </w:t>
      </w:r>
      <w:r w:rsidRPr="225BC9DB" w:rsidR="4F08B6F1">
        <w:rPr>
          <w:sz w:val="22"/>
          <w:szCs w:val="22"/>
        </w:rPr>
        <w:t xml:space="preserve">the </w:t>
      </w:r>
      <w:r w:rsidRPr="225BC9DB" w:rsidR="61CF8A7E">
        <w:rPr>
          <w:sz w:val="22"/>
          <w:szCs w:val="22"/>
        </w:rPr>
        <w:t>scale-</w:t>
      </w:r>
      <w:r w:rsidRPr="225BC9DB" w:rsidR="61CF8A7E">
        <w:rPr>
          <w:sz w:val="22"/>
          <w:szCs w:val="22"/>
        </w:rPr>
        <w:t>up</w:t>
      </w:r>
      <w:r w:rsidRPr="225BC9DB" w:rsidR="61CF8A7E">
        <w:rPr>
          <w:sz w:val="22"/>
          <w:szCs w:val="22"/>
        </w:rPr>
        <w:t xml:space="preserve"> </w:t>
      </w:r>
      <w:r w:rsidRPr="225BC9DB" w:rsidR="67AE2073">
        <w:rPr>
          <w:sz w:val="22"/>
          <w:szCs w:val="22"/>
        </w:rPr>
        <w:t xml:space="preserve">and implementation of </w:t>
      </w:r>
      <w:r w:rsidRPr="225BC9DB" w:rsidR="67AE2073">
        <w:rPr>
          <w:sz w:val="22"/>
          <w:szCs w:val="22"/>
        </w:rPr>
        <w:t>DLM</w:t>
      </w:r>
      <w:r w:rsidRPr="225BC9DB" w:rsidR="61CF8A7E">
        <w:rPr>
          <w:sz w:val="22"/>
          <w:szCs w:val="22"/>
        </w:rPr>
        <w:t>. Key factors for</w:t>
      </w:r>
      <w:r w:rsidRPr="225BC9DB" w:rsidR="63CA5047">
        <w:rPr>
          <w:sz w:val="22"/>
          <w:szCs w:val="22"/>
        </w:rPr>
        <w:t xml:space="preserve"> </w:t>
      </w:r>
      <w:r w:rsidRPr="225BC9DB" w:rsidR="63CA5047">
        <w:rPr>
          <w:sz w:val="22"/>
          <w:szCs w:val="22"/>
        </w:rPr>
        <w:t>implementation</w:t>
      </w:r>
      <w:r w:rsidRPr="225BC9DB" w:rsidR="61CF8A7E">
        <w:rPr>
          <w:sz w:val="22"/>
          <w:szCs w:val="22"/>
        </w:rPr>
        <w:t xml:space="preserve"> success included</w:t>
      </w:r>
      <w:r w:rsidRPr="225BC9DB" w:rsidR="61CF8A7E">
        <w:rPr>
          <w:sz w:val="22"/>
          <w:szCs w:val="22"/>
        </w:rPr>
        <w:t xml:space="preserve"> cultural safety embedded through Aboriginal workforce leadership, peer trust-building, and </w:t>
      </w:r>
      <w:r w:rsidRPr="225BC9DB" w:rsidR="255FF5A7">
        <w:rPr>
          <w:sz w:val="22"/>
          <w:szCs w:val="22"/>
        </w:rPr>
        <w:t xml:space="preserve">client </w:t>
      </w:r>
      <w:r w:rsidRPr="225BC9DB" w:rsidR="61CF8A7E">
        <w:rPr>
          <w:sz w:val="22"/>
          <w:szCs w:val="22"/>
        </w:rPr>
        <w:t>incentive</w:t>
      </w:r>
      <w:r w:rsidRPr="225BC9DB" w:rsidR="421DC0A2">
        <w:rPr>
          <w:sz w:val="22"/>
          <w:szCs w:val="22"/>
        </w:rPr>
        <w:t>s</w:t>
      </w:r>
      <w:r w:rsidRPr="225BC9DB" w:rsidR="61CF8A7E">
        <w:rPr>
          <w:sz w:val="22"/>
          <w:szCs w:val="22"/>
        </w:rPr>
        <w:t xml:space="preserve"> </w:t>
      </w:r>
      <w:r w:rsidRPr="225BC9DB" w:rsidR="61CF8A7E">
        <w:rPr>
          <w:sz w:val="22"/>
          <w:szCs w:val="22"/>
        </w:rPr>
        <w:t xml:space="preserve">that </w:t>
      </w:r>
      <w:r w:rsidRPr="225BC9DB" w:rsidR="61CF8A7E">
        <w:rPr>
          <w:sz w:val="22"/>
          <w:szCs w:val="22"/>
        </w:rPr>
        <w:t>helped promote</w:t>
      </w:r>
      <w:r w:rsidRPr="225BC9DB" w:rsidR="61CF8A7E">
        <w:rPr>
          <w:sz w:val="22"/>
          <w:szCs w:val="22"/>
        </w:rPr>
        <w:t xml:space="preserve"> sustained engagement with</w:t>
      </w:r>
      <w:r w:rsidRPr="225BC9DB" w:rsidR="0034D62A">
        <w:rPr>
          <w:sz w:val="22"/>
          <w:szCs w:val="22"/>
        </w:rPr>
        <w:t xml:space="preserve"> blood borne viruses (</w:t>
      </w:r>
      <w:r w:rsidRPr="225BC9DB" w:rsidR="61CF8A7E">
        <w:rPr>
          <w:sz w:val="22"/>
          <w:szCs w:val="22"/>
        </w:rPr>
        <w:t>BBV</w:t>
      </w:r>
      <w:r w:rsidRPr="225BC9DB" w:rsidR="36785EC7">
        <w:rPr>
          <w:sz w:val="22"/>
          <w:szCs w:val="22"/>
        </w:rPr>
        <w:t>)</w:t>
      </w:r>
      <w:r w:rsidRPr="225BC9DB" w:rsidR="61CF8A7E">
        <w:rPr>
          <w:sz w:val="22"/>
          <w:szCs w:val="22"/>
        </w:rPr>
        <w:t xml:space="preserve">/STI screening and care. It offers a clear example of how implementation frameworks like RE-AIM can be applied to evaluate </w:t>
      </w:r>
      <w:r w:rsidRPr="225BC9DB" w:rsidR="7AAD38E6">
        <w:rPr>
          <w:sz w:val="22"/>
          <w:szCs w:val="22"/>
        </w:rPr>
        <w:t xml:space="preserve">the </w:t>
      </w:r>
      <w:r w:rsidRPr="225BC9DB" w:rsidR="61CF8A7E">
        <w:rPr>
          <w:sz w:val="22"/>
          <w:szCs w:val="22"/>
        </w:rPr>
        <w:t>scale</w:t>
      </w:r>
      <w:r w:rsidRPr="225BC9DB" w:rsidR="4A78014D">
        <w:rPr>
          <w:sz w:val="22"/>
          <w:szCs w:val="22"/>
        </w:rPr>
        <w:t xml:space="preserve"> </w:t>
      </w:r>
      <w:r w:rsidRPr="225BC9DB" w:rsidR="61CF8A7E">
        <w:rPr>
          <w:sz w:val="22"/>
          <w:szCs w:val="22"/>
        </w:rPr>
        <w:t>up</w:t>
      </w:r>
      <w:r w:rsidRPr="225BC9DB" w:rsidR="61CF8A7E">
        <w:rPr>
          <w:sz w:val="22"/>
          <w:szCs w:val="22"/>
        </w:rPr>
        <w:t xml:space="preserve"> of community-designed interventions. </w:t>
      </w:r>
      <w:r>
        <w:br/>
      </w:r>
    </w:p>
    <w:p w:rsidRPr="00C923DB" w:rsidR="00C923DB" w:rsidP="00C923DB" w:rsidRDefault="00C923DB" w14:paraId="4573DCBB" w14:textId="2D82B5C2">
      <w:pPr>
        <w:pStyle w:val="NormalWeb"/>
        <w:rPr>
          <w:sz w:val="22"/>
          <w:szCs w:val="22"/>
        </w:rPr>
      </w:pPr>
      <w:r w:rsidRPr="64565B7F" w:rsidR="61CF8A7E">
        <w:rPr>
          <w:sz w:val="22"/>
          <w:szCs w:val="22"/>
        </w:rPr>
        <w:t>T</w:t>
      </w:r>
      <w:r w:rsidRPr="64565B7F" w:rsidR="61CF8A7E">
        <w:rPr>
          <w:sz w:val="22"/>
          <w:szCs w:val="22"/>
        </w:rPr>
        <w:t xml:space="preserve">he study strengthens equity-focused implementation knowledge by showing how </w:t>
      </w:r>
      <w:r w:rsidRPr="64565B7F" w:rsidR="61CF8A7E">
        <w:rPr>
          <w:rStyle w:val="Strong"/>
          <w:b w:val="0"/>
          <w:bCs w:val="0"/>
          <w:sz w:val="22"/>
          <w:szCs w:val="22"/>
        </w:rPr>
        <w:t>contextual fit and local adaptation are essential to reach and maintenance</w:t>
      </w:r>
      <w:r w:rsidRPr="64565B7F" w:rsidR="61CF8A7E">
        <w:rPr>
          <w:b w:val="1"/>
          <w:bCs w:val="1"/>
          <w:sz w:val="22"/>
          <w:szCs w:val="22"/>
        </w:rPr>
        <w:t>,</w:t>
      </w:r>
      <w:r w:rsidRPr="64565B7F" w:rsidR="61CF8A7E">
        <w:rPr>
          <w:sz w:val="22"/>
          <w:szCs w:val="22"/>
        </w:rPr>
        <w:t xml:space="preserve"> especially in rural areas. It documents specific outer- and inner-context determinants</w:t>
      </w:r>
      <w:r w:rsidRPr="64565B7F" w:rsidR="615EF9FE">
        <w:rPr>
          <w:sz w:val="22"/>
          <w:szCs w:val="22"/>
        </w:rPr>
        <w:t xml:space="preserve"> like </w:t>
      </w:r>
      <w:r w:rsidRPr="64565B7F" w:rsidR="61CF8A7E">
        <w:rPr>
          <w:sz w:val="22"/>
          <w:szCs w:val="22"/>
        </w:rPr>
        <w:t>transport</w:t>
      </w:r>
      <w:r w:rsidRPr="64565B7F" w:rsidR="01CDB67E">
        <w:rPr>
          <w:sz w:val="22"/>
          <w:szCs w:val="22"/>
        </w:rPr>
        <w:t>ation</w:t>
      </w:r>
      <w:r w:rsidRPr="64565B7F" w:rsidR="61CF8A7E">
        <w:rPr>
          <w:sz w:val="22"/>
          <w:szCs w:val="22"/>
        </w:rPr>
        <w:t xml:space="preserve"> barriers, service co-location, workforce stability, and COVID-related disruptions</w:t>
      </w:r>
      <w:r w:rsidRPr="64565B7F" w:rsidR="615EF9FE">
        <w:rPr>
          <w:sz w:val="22"/>
          <w:szCs w:val="22"/>
        </w:rPr>
        <w:t xml:space="preserve">, </w:t>
      </w:r>
      <w:r w:rsidRPr="64565B7F" w:rsidR="61CF8A7E">
        <w:rPr>
          <w:sz w:val="22"/>
          <w:szCs w:val="22"/>
        </w:rPr>
        <w:t xml:space="preserve">and shows how sites adapted delivery to </w:t>
      </w:r>
      <w:r w:rsidRPr="64565B7F" w:rsidR="61CF8A7E">
        <w:rPr>
          <w:sz w:val="22"/>
          <w:szCs w:val="22"/>
        </w:rPr>
        <w:t>maintain</w:t>
      </w:r>
      <w:r w:rsidRPr="64565B7F" w:rsidR="61CF8A7E">
        <w:rPr>
          <w:sz w:val="22"/>
          <w:szCs w:val="22"/>
        </w:rPr>
        <w:t xml:space="preserve"> participation without </w:t>
      </w:r>
      <w:r w:rsidRPr="64565B7F" w:rsidR="615EF9FE">
        <w:rPr>
          <w:sz w:val="22"/>
          <w:szCs w:val="22"/>
        </w:rPr>
        <w:t>negatively affecting</w:t>
      </w:r>
      <w:r w:rsidRPr="64565B7F" w:rsidR="61CF8A7E">
        <w:rPr>
          <w:sz w:val="22"/>
          <w:szCs w:val="22"/>
        </w:rPr>
        <w:t xml:space="preserve"> program acceptability. These findings advance D&amp;I science by illustrating that sustainable scale-up for marginalized populations depends on </w:t>
      </w:r>
      <w:r w:rsidRPr="64565B7F" w:rsidR="61CF8A7E">
        <w:rPr>
          <w:rStyle w:val="Strong"/>
          <w:b w:val="0"/>
          <w:bCs w:val="0"/>
          <w:sz w:val="22"/>
          <w:szCs w:val="22"/>
        </w:rPr>
        <w:t>investing in culturally specific implementat</w:t>
      </w:r>
      <w:r w:rsidRPr="64565B7F" w:rsidR="615EF9FE">
        <w:rPr>
          <w:rStyle w:val="Strong"/>
          <w:b w:val="0"/>
          <w:bCs w:val="0"/>
          <w:sz w:val="22"/>
          <w:szCs w:val="22"/>
        </w:rPr>
        <w:t>ion teams</w:t>
      </w:r>
      <w:r w:rsidRPr="64565B7F" w:rsidR="61CF8A7E">
        <w:rPr>
          <w:rStyle w:val="Strong"/>
          <w:b w:val="0"/>
          <w:bCs w:val="0"/>
          <w:sz w:val="22"/>
          <w:szCs w:val="22"/>
        </w:rPr>
        <w:t xml:space="preserve">, </w:t>
      </w:r>
      <w:r w:rsidRPr="64565B7F" w:rsidR="61CF8A7E">
        <w:rPr>
          <w:rStyle w:val="Strong"/>
          <w:b w:val="0"/>
          <w:bCs w:val="0"/>
          <w:sz w:val="22"/>
          <w:szCs w:val="22"/>
        </w:rPr>
        <w:t>designing for</w:t>
      </w:r>
      <w:r w:rsidRPr="64565B7F" w:rsidR="61CF8A7E">
        <w:rPr>
          <w:rStyle w:val="Strong"/>
          <w:b w:val="0"/>
          <w:bCs w:val="0"/>
          <w:sz w:val="22"/>
          <w:szCs w:val="22"/>
        </w:rPr>
        <w:t xml:space="preserve"> adaptability, and planning for long-term resource support</w:t>
      </w:r>
      <w:r w:rsidRPr="64565B7F" w:rsidR="615EF9FE">
        <w:rPr>
          <w:rStyle w:val="Strong"/>
          <w:b w:val="0"/>
          <w:bCs w:val="0"/>
          <w:sz w:val="22"/>
          <w:szCs w:val="22"/>
        </w:rPr>
        <w:t xml:space="preserve">. These lessons can be used in scaling future </w:t>
      </w:r>
      <w:r w:rsidRPr="64565B7F" w:rsidR="61CF8A7E">
        <w:rPr>
          <w:sz w:val="22"/>
          <w:szCs w:val="22"/>
        </w:rPr>
        <w:t>equity-centered public health programs.</w:t>
      </w:r>
    </w:p>
    <w:p w:rsidR="007220FF" w:rsidP="52557DBB" w:rsidRDefault="007220FF" w14:paraId="616A3F03" w14:textId="08E7C40F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</w:p>
    <w:p w:rsidR="007220FF" w:rsidP="52557DBB" w:rsidRDefault="007220FF" w14:paraId="2C078E63" w14:textId="47F3F209">
      <w:pPr>
        <w:spacing w:line="240" w:lineRule="auto"/>
        <w:rPr>
          <w:rFonts w:ascii="Times New Roman" w:hAnsi="Times New Roman" w:eastAsia="Times New Roman" w:cs="Times New Roman"/>
          <w:sz w:val="22"/>
          <w:szCs w:val="22"/>
        </w:rPr>
      </w:pPr>
    </w:p>
    <w:sectPr w:rsidR="007220F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14="http://schemas.microsoft.com/office/word/2010/wordml" xmlns:w="http://schemas.openxmlformats.org/wordprocessingml/2006/main">
  <w:comment xmlns:w="http://schemas.openxmlformats.org/wordprocessingml/2006/main" w:initials="GC" w:author="Geremia, Carrie" w:date="2025-11-26T08:24:20" w:id="83253076">
    <w:p xmlns:w14="http://schemas.microsoft.com/office/word/2010/wordml" xmlns:w="http://schemas.openxmlformats.org/wordprocessingml/2006/main" w:rsidR="1C30DB44" w:rsidRDefault="0D064CAD" w14:paraId="420061A7" w14:textId="0254F927">
      <w:pPr>
        <w:pStyle w:val="CommentText"/>
      </w:pPr>
      <w:r>
        <w:rPr>
          <w:rStyle w:val="CommentReference"/>
        </w:rPr>
        <w:annotationRef/>
      </w:r>
      <w:r>
        <w:fldChar w:fldCharType="begin"/>
      </w:r>
      <w:r>
        <w:instrText xml:space="preserve"> HYPERLINK "mailto:jlmontoy@health.ucsd.edu"</w:instrText>
      </w:r>
      <w:bookmarkStart w:name="_@_5B3CE15E2C0C4F7CA9DA5CA2C2419CB3Z" w:id="1281252918"/>
      <w:r>
        <w:fldChar w:fldCharType="separate"/>
      </w:r>
      <w:bookmarkEnd w:id="1281252918"/>
      <w:r w:rsidRPr="157D9237" w:rsidR="004CE2B3">
        <w:rPr>
          <w:rStyle w:val="Mention"/>
          <w:noProof/>
        </w:rPr>
        <w:t>@Montoya, Jessica</w:t>
      </w:r>
      <w:r>
        <w:fldChar w:fldCharType="end"/>
      </w:r>
      <w:r w:rsidRPr="685069FA" w:rsidR="3326D4B7">
        <w:t xml:space="preserve"> </w:t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1" w15:paraId="420061A7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1570EBF0" w16cex:dateUtc="2025-11-26T16:24:20.648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420061A7" w16cid:durableId="1570EBF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5B079"/>
    <w:multiLevelType w:val="hybridMultilevel"/>
    <w:tmpl w:val="E8DE3516"/>
    <w:lvl w:ilvl="0" w:tplc="E0F01D2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D32505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D6E93C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34A9A6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BC26B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F92653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3F814C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F683F1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244BB3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880285834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Geremia, Carrie">
    <w15:presenceInfo w15:providerId="AD" w15:userId="S::cmgeremia@health.ucsd.edu::c86de92a-8aef-4622-b3bb-576d5cfbb3c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DEE7B40"/>
    <w:rsid w:val="000B01D2"/>
    <w:rsid w:val="0034D62A"/>
    <w:rsid w:val="00676915"/>
    <w:rsid w:val="00680CD1"/>
    <w:rsid w:val="007220FF"/>
    <w:rsid w:val="00C923DB"/>
    <w:rsid w:val="01CDB67E"/>
    <w:rsid w:val="075E6BB7"/>
    <w:rsid w:val="077F16CF"/>
    <w:rsid w:val="07CBC5D3"/>
    <w:rsid w:val="0FC8C98F"/>
    <w:rsid w:val="1387CB96"/>
    <w:rsid w:val="195C9B47"/>
    <w:rsid w:val="1A54AA55"/>
    <w:rsid w:val="1B5825CB"/>
    <w:rsid w:val="225BC9DB"/>
    <w:rsid w:val="2546FE76"/>
    <w:rsid w:val="255FF5A7"/>
    <w:rsid w:val="27BC73AB"/>
    <w:rsid w:val="27E8F97A"/>
    <w:rsid w:val="294ECAC5"/>
    <w:rsid w:val="2AC9277A"/>
    <w:rsid w:val="2D510166"/>
    <w:rsid w:val="359BF102"/>
    <w:rsid w:val="36785EC7"/>
    <w:rsid w:val="38B3FD21"/>
    <w:rsid w:val="3B850315"/>
    <w:rsid w:val="3F0E6E04"/>
    <w:rsid w:val="3F10D3B3"/>
    <w:rsid w:val="40738A05"/>
    <w:rsid w:val="421DC0A2"/>
    <w:rsid w:val="438DBD6C"/>
    <w:rsid w:val="43B2EE4C"/>
    <w:rsid w:val="46E0E6F0"/>
    <w:rsid w:val="48037478"/>
    <w:rsid w:val="495BE817"/>
    <w:rsid w:val="49807C38"/>
    <w:rsid w:val="49FA64EE"/>
    <w:rsid w:val="4A78014D"/>
    <w:rsid w:val="4B295CC3"/>
    <w:rsid w:val="4BD6A87D"/>
    <w:rsid w:val="4CFAD0C6"/>
    <w:rsid w:val="4EAB39D2"/>
    <w:rsid w:val="4F08B6F1"/>
    <w:rsid w:val="4FCF7F03"/>
    <w:rsid w:val="51066FE0"/>
    <w:rsid w:val="5169930C"/>
    <w:rsid w:val="52557DBB"/>
    <w:rsid w:val="539F8BE4"/>
    <w:rsid w:val="55E4EF40"/>
    <w:rsid w:val="55F6AB5D"/>
    <w:rsid w:val="57E8A303"/>
    <w:rsid w:val="5B20568A"/>
    <w:rsid w:val="5DEE7B40"/>
    <w:rsid w:val="5E4AF114"/>
    <w:rsid w:val="5ECCA3EB"/>
    <w:rsid w:val="604242CA"/>
    <w:rsid w:val="615EF9FE"/>
    <w:rsid w:val="619A219D"/>
    <w:rsid w:val="61AE31F5"/>
    <w:rsid w:val="61AE7CDB"/>
    <w:rsid w:val="61CF8A7E"/>
    <w:rsid w:val="627B1CD6"/>
    <w:rsid w:val="63BBA547"/>
    <w:rsid w:val="63CA5047"/>
    <w:rsid w:val="64565B7F"/>
    <w:rsid w:val="662B5B55"/>
    <w:rsid w:val="66A790ED"/>
    <w:rsid w:val="673457C7"/>
    <w:rsid w:val="67AE2073"/>
    <w:rsid w:val="684FF1A6"/>
    <w:rsid w:val="6BA19104"/>
    <w:rsid w:val="6DDA7EF7"/>
    <w:rsid w:val="6F42CBCE"/>
    <w:rsid w:val="744F3B4A"/>
    <w:rsid w:val="775A7C35"/>
    <w:rsid w:val="780B6AB6"/>
    <w:rsid w:val="79F763CF"/>
    <w:rsid w:val="7A5C26D4"/>
    <w:rsid w:val="7AAD38E6"/>
    <w:rsid w:val="7C740F78"/>
    <w:rsid w:val="7C85C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FF5D9"/>
  <w15:chartTrackingRefBased/>
  <w15:docId w15:val="{79BB627B-326E-4974-8BC0-3A9CBC11C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52557DB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923D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lang w:eastAsia="en-US"/>
    </w:rPr>
  </w:style>
  <w:style w:type="character" w:styleId="Strong">
    <w:name w:val="Strong"/>
    <w:basedOn w:val="DefaultParagraphFont"/>
    <w:uiPriority w:val="22"/>
    <w:qFormat/>
    <w:rsid w:val="00C923DB"/>
    <w:rPr>
      <w:b/>
      <w:bCs/>
    </w:rPr>
  </w:style>
  <w:style w:type="character" w:styleId="relative" w:customStyle="1">
    <w:name w:val="relative"/>
    <w:basedOn w:val="DefaultParagraphFont"/>
    <w:rsid w:val="00C923DB"/>
  </w:style>
  <w:style w:type="paragraph" w:styleId="not-prose" w:customStyle="1">
    <w:name w:val="not-prose"/>
    <w:basedOn w:val="Normal"/>
    <w:rsid w:val="00C923D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lang w:eastAsia="en-US"/>
    </w:rPr>
  </w:style>
  <w:style w:type="character" w:styleId="Emphasis">
    <w:name w:val="Emphasis"/>
    <w:basedOn w:val="DefaultParagraphFont"/>
    <w:uiPriority w:val="20"/>
    <w:qFormat/>
    <w:rsid w:val="00C923DB"/>
    <w:rPr>
      <w:i/>
      <w:iCs/>
    </w:rPr>
  </w:style>
</w:styles>
</file>

<file path=word/tasks.xml><?xml version="1.0" encoding="utf-8"?>
<t:Tasks xmlns:t="http://schemas.microsoft.com/office/tasks/2019/documenttasks" xmlns:oel="http://schemas.microsoft.com/office/2019/extlst">
  <t:Task id="{F68DB5E7-4DD3-4941-97D0-8483D9078AB9}">
    <t:Anchor>
      <t:Comment id="359721968"/>
    </t:Anchor>
    <t:History>
      <t:Event id="{4359B0CF-82D0-4CDC-A964-99B36F2F1EC4}" time="2025-11-26T16:24:20.658Z">
        <t:Attribution userId="S::cmgeremia@health.ucsd.edu::c86de92a-8aef-4622-b3bb-576d5cfbb3c6" userProvider="AD" userName="Geremia, Carrie"/>
        <t:Anchor>
          <t:Comment id="359721968"/>
        </t:Anchor>
        <t:Create/>
      </t:Event>
      <t:Event id="{0CA8A30D-5AAF-445E-A277-0A1A505625FD}" time="2025-11-26T16:24:20.658Z">
        <t:Attribution userId="S::cmgeremia@health.ucsd.edu::c86de92a-8aef-4622-b3bb-576d5cfbb3c6" userProvider="AD" userName="Geremia, Carrie"/>
        <t:Anchor>
          <t:Comment id="359721968"/>
        </t:Anchor>
        <t:Assign userId="S::jlmontoy@health.ucsd.edu::37fcc423-0fd1-4722-a3be-713f4626f8bd" userProvider="AD" userName="Montoya, Jessica"/>
      </t:Event>
      <t:Event id="{0D9EBF4E-512A-45B0-8B69-23FE958D2A8F}" time="2025-11-26T16:24:20.658Z">
        <t:Attribution userId="S::cmgeremia@health.ucsd.edu::c86de92a-8aef-4622-b3bb-576d5cfbb3c6" userProvider="AD" userName="Geremia, Carrie"/>
        <t:Anchor>
          <t:Comment id="359721968"/>
        </t:Anchor>
        <t:SetTitle title="@Montoya, Jessica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3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openxmlformats.org/officeDocument/2006/relationships/comments" Target="comments.xml" Id="R435e5dd8c2e94f3e" /><Relationship Type="http://schemas.microsoft.com/office/2011/relationships/people" Target="people.xml" Id="R715ee5c5bcbd4e78" /><Relationship Type="http://schemas.microsoft.com/office/2011/relationships/commentsExtended" Target="commentsExtended.xml" Id="R9a1e5d9a7d294f69" /><Relationship Type="http://schemas.microsoft.com/office/2016/09/relationships/commentsIds" Target="commentsIds.xml" Id="Rbeb88fca408c4ed8" /><Relationship Type="http://schemas.microsoft.com/office/2018/08/relationships/commentsExtensible" Target="commentsExtensible.xml" Id="R7e2e9f0bbb2046bc" /><Relationship Type="http://schemas.microsoft.com/office/2019/05/relationships/documenttasks" Target="tasks.xml" Id="Rf5cfc750603e4252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9C5A22072D1A49B619EADA6ED24D47" ma:contentTypeVersion="16" ma:contentTypeDescription="Create a new document." ma:contentTypeScope="" ma:versionID="a198a524b0be707857632424868b3ea2">
  <xsd:schema xmlns:xsd="http://www.w3.org/2001/XMLSchema" xmlns:xs="http://www.w3.org/2001/XMLSchema" xmlns:p="http://schemas.microsoft.com/office/2006/metadata/properties" xmlns:ns2="f9e1e7b2-c25f-42c2-9406-373a71d96f4c" xmlns:ns3="dca96bb3-0378-4d95-8455-08d844e02994" targetNamespace="http://schemas.microsoft.com/office/2006/metadata/properties" ma:root="true" ma:fieldsID="1550e52471d9d8f800af8257a659f389" ns2:_="" ns3:_="">
    <xsd:import namespace="f9e1e7b2-c25f-42c2-9406-373a71d96f4c"/>
    <xsd:import namespace="dca96bb3-0378-4d95-8455-08d844e0299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e1e7b2-c25f-42c2-9406-373a71d96f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2ccd466c-82b6-42a3-8ba5-5c7db83406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a96bb3-0378-4d95-8455-08d844e02994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d2383bb-16fa-493b-ad80-7dfb47c70ada}" ma:internalName="TaxCatchAll" ma:showField="CatchAllData" ma:web="dca96bb3-0378-4d95-8455-08d844e0299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9e1e7b2-c25f-42c2-9406-373a71d96f4c">
      <Terms xmlns="http://schemas.microsoft.com/office/infopath/2007/PartnerControls"/>
    </lcf76f155ced4ddcb4097134ff3c332f>
    <TaxCatchAll xmlns="dca96bb3-0378-4d95-8455-08d844e02994" xsi:nil="true"/>
  </documentManagement>
</p:properties>
</file>

<file path=customXml/itemProps1.xml><?xml version="1.0" encoding="utf-8"?>
<ds:datastoreItem xmlns:ds="http://schemas.openxmlformats.org/officeDocument/2006/customXml" ds:itemID="{D0F79772-8C1E-4BE0-8E77-3A4C80045508}"/>
</file>

<file path=customXml/itemProps2.xml><?xml version="1.0" encoding="utf-8"?>
<ds:datastoreItem xmlns:ds="http://schemas.openxmlformats.org/officeDocument/2006/customXml" ds:itemID="{7D182B91-B242-43A8-A2FB-C447FA2F5C74}"/>
</file>

<file path=customXml/itemProps3.xml><?xml version="1.0" encoding="utf-8"?>
<ds:datastoreItem xmlns:ds="http://schemas.openxmlformats.org/officeDocument/2006/customXml" ds:itemID="{5D8447E4-8ED1-4FD3-90CE-FA9BD2F2AC9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Lee, Jasmine</dc:creator>
  <keywords/>
  <dc:description/>
  <lastModifiedBy>Geremia, Carrie</lastModifiedBy>
  <revision>7</revision>
  <dcterms:created xsi:type="dcterms:W3CDTF">2025-11-26T16:08:00.0000000Z</dcterms:created>
  <dcterms:modified xsi:type="dcterms:W3CDTF">2025-12-09T16:12:20.8861497Z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0x010100F39C5A22072D1A49B619EADA6ED24D47</vt:lpwstr>
  </property>
  <property fmtid="{D5CDD505-2E9C-101B-9397-08002B2CF9AE}" pid="3" name="MediaServiceImageTags">
    <vt:lpwstr/>
  </property>
</Properties>
</file>