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932BBF" w:rsidR="61AE31F5" w:rsidP="0C34D380" w:rsidRDefault="61AE31F5" w14:paraId="3E35B6B0" w14:textId="07693B74">
      <w:pPr>
        <w:spacing w:after="240" w:line="240" w:lineRule="auto"/>
        <w:rPr>
          <w:rFonts w:ascii="Times New Roman" w:hAnsi="Times New Roman" w:eastAsia="Times New Roman" w:cs="Times New Roman"/>
          <w:b/>
          <w:bCs/>
          <w:sz w:val="22"/>
          <w:szCs w:val="22"/>
        </w:rPr>
      </w:pPr>
      <w:r w:rsidRPr="00932BBF">
        <w:rPr>
          <w:rFonts w:ascii="Times New Roman" w:hAnsi="Times New Roman" w:eastAsia="Times New Roman" w:cs="Times New Roman"/>
          <w:b/>
          <w:bCs/>
          <w:sz w:val="22"/>
          <w:szCs w:val="22"/>
        </w:rPr>
        <w:t xml:space="preserve">Case Example: </w:t>
      </w:r>
      <w:r w:rsidRPr="00932BBF" w:rsidR="201B496F">
        <w:rPr>
          <w:rFonts w:ascii="Times New Roman" w:hAnsi="Times New Roman" w:eastAsia="Times New Roman" w:cs="Times New Roman"/>
          <w:b/>
          <w:bCs/>
          <w:sz w:val="22"/>
          <w:szCs w:val="22"/>
        </w:rPr>
        <w:t>PARiHS</w:t>
      </w:r>
    </w:p>
    <w:p w:rsidRPr="00932BBF" w:rsidR="61AE31F5" w:rsidP="5E42B412" w:rsidRDefault="61AE31F5" w14:paraId="04E18A54" w14:textId="484CDE05">
      <w:pPr>
        <w:spacing w:after="240" w:line="240" w:lineRule="auto"/>
        <w:rPr>
          <w:rFonts w:ascii="Times New Roman" w:hAnsi="Times New Roman" w:eastAsia="Times New Roman" w:cs="Times New Roman"/>
          <w:sz w:val="22"/>
          <w:szCs w:val="22"/>
        </w:rPr>
      </w:pPr>
      <w:r w:rsidRPr="00932BBF">
        <w:rPr>
          <w:rFonts w:ascii="Times New Roman" w:hAnsi="Times New Roman" w:eastAsia="Times New Roman" w:cs="Times New Roman"/>
          <w:b/>
          <w:bCs/>
          <w:sz w:val="22"/>
          <w:szCs w:val="22"/>
          <w:lang w:val="fr-FR"/>
        </w:rPr>
        <w:t xml:space="preserve">Full </w:t>
      </w:r>
      <w:proofErr w:type="gramStart"/>
      <w:r w:rsidRPr="00932BBF">
        <w:rPr>
          <w:rFonts w:ascii="Times New Roman" w:hAnsi="Times New Roman" w:eastAsia="Times New Roman" w:cs="Times New Roman"/>
          <w:b/>
          <w:bCs/>
          <w:sz w:val="22"/>
          <w:szCs w:val="22"/>
          <w:lang w:val="fr-FR"/>
        </w:rPr>
        <w:t>citation</w:t>
      </w:r>
      <w:r w:rsidRPr="00932BBF">
        <w:rPr>
          <w:rFonts w:ascii="Times New Roman" w:hAnsi="Times New Roman" w:eastAsia="Times New Roman" w:cs="Times New Roman"/>
          <w:sz w:val="22"/>
          <w:szCs w:val="22"/>
          <w:lang w:val="fr-FR"/>
        </w:rPr>
        <w:t>:</w:t>
      </w:r>
      <w:proofErr w:type="gramEnd"/>
      <w:r w:rsidRPr="00932BBF">
        <w:rPr>
          <w:rFonts w:ascii="Times New Roman" w:hAnsi="Times New Roman" w:eastAsia="Times New Roman" w:cs="Times New Roman"/>
          <w:sz w:val="22"/>
          <w:szCs w:val="22"/>
          <w:lang w:val="fr-FR"/>
        </w:rPr>
        <w:t xml:space="preserve"> </w:t>
      </w:r>
      <w:r w:rsidRPr="00932BBF" w:rsidR="64F044DD">
        <w:rPr>
          <w:rFonts w:ascii="Times New Roman" w:hAnsi="Times New Roman" w:eastAsia="Times New Roman" w:cs="Times New Roman"/>
          <w:sz w:val="22"/>
          <w:szCs w:val="22"/>
          <w:lang w:val="fr-FR"/>
        </w:rPr>
        <w:t xml:space="preserve">Tapia, Y., </w:t>
      </w:r>
      <w:proofErr w:type="spellStart"/>
      <w:r w:rsidRPr="00932BBF" w:rsidR="64F044DD">
        <w:rPr>
          <w:rFonts w:ascii="Times New Roman" w:hAnsi="Times New Roman" w:eastAsia="Times New Roman" w:cs="Times New Roman"/>
          <w:sz w:val="22"/>
          <w:szCs w:val="22"/>
          <w:lang w:val="fr-FR"/>
        </w:rPr>
        <w:t>Saleska</w:t>
      </w:r>
      <w:proofErr w:type="spellEnd"/>
      <w:r w:rsidRPr="00932BBF" w:rsidR="64F044DD">
        <w:rPr>
          <w:rFonts w:ascii="Times New Roman" w:hAnsi="Times New Roman" w:eastAsia="Times New Roman" w:cs="Times New Roman"/>
          <w:sz w:val="22"/>
          <w:szCs w:val="22"/>
          <w:lang w:val="fr-FR"/>
        </w:rPr>
        <w:t xml:space="preserve">, J., Gonzalez-Valentino, O., </w:t>
      </w:r>
      <w:proofErr w:type="spellStart"/>
      <w:r w:rsidRPr="00932BBF" w:rsidR="64F044DD">
        <w:rPr>
          <w:rFonts w:ascii="Times New Roman" w:hAnsi="Times New Roman" w:eastAsia="Times New Roman" w:cs="Times New Roman"/>
          <w:sz w:val="22"/>
          <w:szCs w:val="22"/>
          <w:lang w:val="fr-FR"/>
        </w:rPr>
        <w:t>Liashenko</w:t>
      </w:r>
      <w:proofErr w:type="spellEnd"/>
      <w:r w:rsidRPr="00932BBF" w:rsidR="64F044DD">
        <w:rPr>
          <w:rFonts w:ascii="Times New Roman" w:hAnsi="Times New Roman" w:eastAsia="Times New Roman" w:cs="Times New Roman"/>
          <w:sz w:val="22"/>
          <w:szCs w:val="22"/>
          <w:lang w:val="fr-FR"/>
        </w:rPr>
        <w:t xml:space="preserve">, J., </w:t>
      </w:r>
      <w:proofErr w:type="spellStart"/>
      <w:r w:rsidRPr="00932BBF" w:rsidR="64F044DD">
        <w:rPr>
          <w:rFonts w:ascii="Times New Roman" w:hAnsi="Times New Roman" w:eastAsia="Times New Roman" w:cs="Times New Roman"/>
          <w:sz w:val="22"/>
          <w:szCs w:val="22"/>
          <w:lang w:val="fr-FR"/>
        </w:rPr>
        <w:t>Stafylis</w:t>
      </w:r>
      <w:proofErr w:type="spellEnd"/>
      <w:r w:rsidRPr="00932BBF" w:rsidR="64F044DD">
        <w:rPr>
          <w:rFonts w:ascii="Times New Roman" w:hAnsi="Times New Roman" w:eastAsia="Times New Roman" w:cs="Times New Roman"/>
          <w:sz w:val="22"/>
          <w:szCs w:val="22"/>
          <w:lang w:val="fr-FR"/>
        </w:rPr>
        <w:t>, C., Brown, B., et al</w:t>
      </w:r>
      <w:r w:rsidRPr="00932BBF" w:rsidR="2D39D9EB">
        <w:rPr>
          <w:rFonts w:ascii="Times New Roman" w:hAnsi="Times New Roman" w:eastAsia="Times New Roman" w:cs="Times New Roman"/>
          <w:sz w:val="22"/>
          <w:szCs w:val="22"/>
          <w:lang w:val="fr-FR"/>
        </w:rPr>
        <w:t xml:space="preserve"> </w:t>
      </w:r>
      <w:r w:rsidRPr="00932BBF" w:rsidR="64F044DD">
        <w:rPr>
          <w:rFonts w:ascii="Times New Roman" w:hAnsi="Times New Roman" w:eastAsia="Times New Roman" w:cs="Times New Roman"/>
          <w:sz w:val="22"/>
          <w:szCs w:val="22"/>
        </w:rPr>
        <w:t>(2024). Proyecto Facil: Using the Integrated Promoting Action on Research Implementation in Health Services (</w:t>
      </w:r>
      <w:proofErr w:type="spellStart"/>
      <w:r w:rsidRPr="00932BBF" w:rsidR="64F044DD">
        <w:rPr>
          <w:rFonts w:ascii="Times New Roman" w:hAnsi="Times New Roman" w:eastAsia="Times New Roman" w:cs="Times New Roman"/>
          <w:sz w:val="22"/>
          <w:szCs w:val="22"/>
        </w:rPr>
        <w:t>i</w:t>
      </w:r>
      <w:proofErr w:type="spellEnd"/>
      <w:r w:rsidRPr="00932BBF" w:rsidR="64F044DD">
        <w:rPr>
          <w:rFonts w:ascii="Times New Roman" w:hAnsi="Times New Roman" w:eastAsia="Times New Roman" w:cs="Times New Roman"/>
          <w:sz w:val="22"/>
          <w:szCs w:val="22"/>
        </w:rPr>
        <w:t>-PARIHS) as a diagnostic tool to improve access to human immunodeficiency virus pre-exposure prophylaxis (</w:t>
      </w:r>
      <w:proofErr w:type="spellStart"/>
      <w:r w:rsidRPr="00932BBF" w:rsidR="64F044DD">
        <w:rPr>
          <w:rFonts w:ascii="Times New Roman" w:hAnsi="Times New Roman" w:eastAsia="Times New Roman" w:cs="Times New Roman"/>
          <w:sz w:val="22"/>
          <w:szCs w:val="22"/>
        </w:rPr>
        <w:t>PrEP</w:t>
      </w:r>
      <w:proofErr w:type="spellEnd"/>
      <w:r w:rsidRPr="00932BBF" w:rsidR="64F044DD">
        <w:rPr>
          <w:rFonts w:ascii="Times New Roman" w:hAnsi="Times New Roman" w:eastAsia="Times New Roman" w:cs="Times New Roman"/>
          <w:sz w:val="22"/>
          <w:szCs w:val="22"/>
        </w:rPr>
        <w:t>) via telemedicine. AIDS Education and Prevention, 36(1), 16–32.</w:t>
      </w:r>
    </w:p>
    <w:p w:rsidRPr="00932BBF" w:rsidR="00932BBF" w:rsidP="00932BBF" w:rsidRDefault="61AE31F5" w14:paraId="4C6AF980" w14:textId="6FD9BEB9">
      <w:pPr>
        <w:pStyle w:val="NormalWeb"/>
        <w:rPr>
          <w:rStyle w:val="relative"/>
          <w:sz w:val="22"/>
          <w:szCs w:val="22"/>
        </w:rPr>
      </w:pPr>
      <w:r w:rsidRPr="5B04350F" w:rsidR="61AE31F5">
        <w:rPr>
          <w:b w:val="1"/>
          <w:bCs w:val="1"/>
          <w:sz w:val="22"/>
          <w:szCs w:val="22"/>
        </w:rPr>
        <w:t>Overview</w:t>
      </w:r>
      <w:r w:rsidRPr="5B04350F" w:rsidR="61AE31F5">
        <w:rPr>
          <w:sz w:val="22"/>
          <w:szCs w:val="22"/>
        </w:rPr>
        <w:t xml:space="preserve">: </w:t>
      </w:r>
      <w:r w:rsidRPr="5B04350F" w:rsidR="00932BBF">
        <w:rPr>
          <w:sz w:val="22"/>
          <w:szCs w:val="22"/>
        </w:rPr>
        <w:t xml:space="preserve">This article evaluates Proyecto Facil, a diagnostic implementation study examining why enrollment in California’s state-sponsored </w:t>
      </w:r>
      <w:r w:rsidRPr="5B04350F" w:rsidR="00932BBF">
        <w:rPr>
          <w:sz w:val="22"/>
          <w:szCs w:val="22"/>
        </w:rPr>
        <w:t>PrEP</w:t>
      </w:r>
      <w:r w:rsidRPr="5B04350F" w:rsidR="00932BBF">
        <w:rPr>
          <w:sz w:val="22"/>
          <w:szCs w:val="22"/>
        </w:rPr>
        <w:t xml:space="preserve"> Assistance Program (</w:t>
      </w:r>
      <w:r w:rsidRPr="5B04350F" w:rsidR="00932BBF">
        <w:rPr>
          <w:sz w:val="22"/>
          <w:szCs w:val="22"/>
        </w:rPr>
        <w:t>PrEP</w:t>
      </w:r>
      <w:r w:rsidRPr="5B04350F" w:rsidR="00932BBF">
        <w:rPr>
          <w:sz w:val="22"/>
          <w:szCs w:val="22"/>
        </w:rPr>
        <w:t xml:space="preserve">-AP) telemedicine </w:t>
      </w:r>
      <w:r w:rsidRPr="5B04350F" w:rsidR="00932BBF">
        <w:rPr>
          <w:sz w:val="22"/>
          <w:szCs w:val="22"/>
        </w:rPr>
        <w:t>option</w:t>
      </w:r>
      <w:r w:rsidRPr="5B04350F" w:rsidR="00932BBF">
        <w:rPr>
          <w:sz w:val="22"/>
          <w:szCs w:val="22"/>
        </w:rPr>
        <w:t xml:space="preserve"> has been extremely low among Latinx men who have sex with men (MSM) and transgender women in Southern California. The California Department of Public Health had added telemedicine to </w:t>
      </w:r>
      <w:r w:rsidRPr="5B04350F" w:rsidR="00932BBF">
        <w:rPr>
          <w:sz w:val="22"/>
          <w:szCs w:val="22"/>
        </w:rPr>
        <w:t>PrEP</w:t>
      </w:r>
      <w:r w:rsidRPr="5B04350F" w:rsidR="00932BBF">
        <w:rPr>
          <w:sz w:val="22"/>
          <w:szCs w:val="22"/>
        </w:rPr>
        <w:t xml:space="preserve">-AP to expand access to free </w:t>
      </w:r>
      <w:r w:rsidRPr="5B04350F" w:rsidR="00932BBF">
        <w:rPr>
          <w:sz w:val="22"/>
          <w:szCs w:val="22"/>
        </w:rPr>
        <w:t>PrEP</w:t>
      </w:r>
      <w:r w:rsidRPr="5B04350F" w:rsidR="00932BBF">
        <w:rPr>
          <w:sz w:val="22"/>
          <w:szCs w:val="22"/>
        </w:rPr>
        <w:t xml:space="preserve"> services, but uptake statewide remained </w:t>
      </w:r>
      <w:r w:rsidRPr="5B04350F" w:rsidR="00932BBF">
        <w:rPr>
          <w:sz w:val="22"/>
          <w:szCs w:val="22"/>
        </w:rPr>
        <w:t>low</w:t>
      </w:r>
      <w:r w:rsidRPr="5B04350F" w:rsidR="00932BBF">
        <w:rPr>
          <w:sz w:val="22"/>
          <w:szCs w:val="22"/>
        </w:rPr>
        <w:t xml:space="preserve">. </w:t>
      </w:r>
      <w:r w:rsidRPr="5B04350F" w:rsidR="00932BBF">
        <w:rPr>
          <w:sz w:val="22"/>
          <w:szCs w:val="22"/>
        </w:rPr>
        <w:t xml:space="preserve">The </w:t>
      </w:r>
      <w:r w:rsidRPr="5B04350F" w:rsidR="00932BBF">
        <w:rPr>
          <w:sz w:val="22"/>
          <w:szCs w:val="22"/>
        </w:rPr>
        <w:t>authors conducted 13</w:t>
      </w:r>
      <w:r w:rsidRPr="5B04350F" w:rsidR="00932BBF">
        <w:rPr>
          <w:sz w:val="22"/>
          <w:szCs w:val="22"/>
        </w:rPr>
        <w:t xml:space="preserve"> </w:t>
      </w:r>
      <w:r w:rsidRPr="5B04350F" w:rsidR="00932BBF">
        <w:rPr>
          <w:sz w:val="22"/>
          <w:szCs w:val="22"/>
        </w:rPr>
        <w:t xml:space="preserve">stakeholder interviews with enrollment workers, site administrators, and policy/industry partners, and 13 focus groups with Latinx MSM and transgender women living in Los Angeles, San Bernardino, and Riverside Counties. Data collection and thematic analysis were guided by the </w:t>
      </w:r>
      <w:r w:rsidRPr="5B04350F" w:rsidR="00932BBF">
        <w:rPr>
          <w:sz w:val="22"/>
          <w:szCs w:val="22"/>
        </w:rPr>
        <w:t>i</w:t>
      </w:r>
      <w:r w:rsidRPr="5B04350F" w:rsidR="00932BBF">
        <w:rPr>
          <w:sz w:val="22"/>
          <w:szCs w:val="22"/>
        </w:rPr>
        <w:t xml:space="preserve">-PARIHS framework. </w:t>
      </w:r>
      <w:r>
        <w:br/>
      </w:r>
    </w:p>
    <w:p w:rsidRPr="00932BBF" w:rsidR="0003263C" w:rsidP="00932BBF" w:rsidRDefault="00932BBF" w14:paraId="572186F2" w14:textId="7131B603">
      <w:pPr>
        <w:pStyle w:val="NormalWeb"/>
        <w:rPr>
          <w:sz w:val="22"/>
          <w:szCs w:val="22"/>
        </w:rPr>
      </w:pPr>
      <w:r w:rsidRPr="62BBF7A5" w:rsidR="00932BBF">
        <w:rPr>
          <w:sz w:val="22"/>
          <w:szCs w:val="22"/>
        </w:rPr>
        <w:t xml:space="preserve">Findings mapped to </w:t>
      </w:r>
      <w:r w:rsidRPr="62BBF7A5" w:rsidR="00932BBF">
        <w:rPr>
          <w:sz w:val="22"/>
          <w:szCs w:val="22"/>
        </w:rPr>
        <w:t>i</w:t>
      </w:r>
      <w:r w:rsidRPr="62BBF7A5" w:rsidR="00932BBF">
        <w:rPr>
          <w:sz w:val="22"/>
          <w:szCs w:val="22"/>
        </w:rPr>
        <w:t>-PARIHS showed that participants valued telemedicine for convenience and privacy, but major barriers blocked enrollment. Innovation-level issues included a complicated</w:t>
      </w:r>
      <w:r w:rsidRPr="62BBF7A5" w:rsidR="00932BBF">
        <w:rPr>
          <w:sz w:val="22"/>
          <w:szCs w:val="22"/>
        </w:rPr>
        <w:t xml:space="preserve"> </w:t>
      </w:r>
      <w:r w:rsidRPr="62BBF7A5" w:rsidR="00932BBF">
        <w:rPr>
          <w:sz w:val="22"/>
          <w:szCs w:val="22"/>
        </w:rPr>
        <w:t>enrollment process that relied on outdated technology</w:t>
      </w:r>
      <w:r w:rsidRPr="62BBF7A5" w:rsidR="00932BBF">
        <w:rPr>
          <w:sz w:val="22"/>
          <w:szCs w:val="22"/>
        </w:rPr>
        <w:t xml:space="preserve"> such as faxing, </w:t>
      </w:r>
      <w:r w:rsidRPr="62BBF7A5" w:rsidR="00932BBF">
        <w:rPr>
          <w:sz w:val="22"/>
          <w:szCs w:val="22"/>
        </w:rPr>
        <w:t xml:space="preserve">and competition from </w:t>
      </w:r>
      <w:r w:rsidRPr="62BBF7A5" w:rsidR="00932BBF">
        <w:rPr>
          <w:sz w:val="22"/>
          <w:szCs w:val="22"/>
        </w:rPr>
        <w:t xml:space="preserve">simpler </w:t>
      </w:r>
      <w:r w:rsidRPr="62BBF7A5" w:rsidR="00932BBF">
        <w:rPr>
          <w:sz w:val="22"/>
          <w:szCs w:val="22"/>
        </w:rPr>
        <w:t>private tele-</w:t>
      </w:r>
      <w:r w:rsidRPr="62BBF7A5" w:rsidR="00932BBF">
        <w:rPr>
          <w:sz w:val="22"/>
          <w:szCs w:val="22"/>
        </w:rPr>
        <w:t>PrEP</w:t>
      </w:r>
      <w:r w:rsidRPr="62BBF7A5" w:rsidR="00932BBF">
        <w:rPr>
          <w:sz w:val="22"/>
          <w:szCs w:val="22"/>
        </w:rPr>
        <w:t xml:space="preserve"> programs. Contextual barriers included </w:t>
      </w:r>
      <w:r w:rsidRPr="62BBF7A5" w:rsidR="00932BBF">
        <w:rPr>
          <w:sz w:val="22"/>
          <w:szCs w:val="22"/>
        </w:rPr>
        <w:t>restrictive</w:t>
      </w:r>
      <w:r w:rsidRPr="62BBF7A5" w:rsidR="00932BBF">
        <w:rPr>
          <w:sz w:val="22"/>
          <w:szCs w:val="22"/>
        </w:rPr>
        <w:t xml:space="preserve"> state rules, weak coordination with the manufacturer </w:t>
      </w:r>
      <w:r w:rsidRPr="62BBF7A5" w:rsidR="00932BBF">
        <w:rPr>
          <w:sz w:val="22"/>
          <w:szCs w:val="22"/>
        </w:rPr>
        <w:t>assistance</w:t>
      </w:r>
      <w:r w:rsidRPr="62BBF7A5" w:rsidR="00932BBF">
        <w:rPr>
          <w:sz w:val="22"/>
          <w:szCs w:val="22"/>
        </w:rPr>
        <w:t xml:space="preserve"> program, fears among community members that sharing personal information could risk immigration consequences, and geographic inequities in </w:t>
      </w:r>
      <w:r w:rsidRPr="62BBF7A5" w:rsidR="00932BBF">
        <w:rPr>
          <w:sz w:val="22"/>
          <w:szCs w:val="22"/>
        </w:rPr>
        <w:t>PrEP</w:t>
      </w:r>
      <w:r w:rsidRPr="62BBF7A5" w:rsidR="00932BBF">
        <w:rPr>
          <w:sz w:val="22"/>
          <w:szCs w:val="22"/>
        </w:rPr>
        <w:t xml:space="preserve"> awareness and services. Recipient-level barriers included low program awareness, housing and income instability that made required documents hard to obtain, privacy challenges in crowded households, and stigma from past clinical encounters. Facilitators suggested by both staff and community members focused on simplifying paperwork, </w:t>
      </w:r>
      <w:r w:rsidRPr="62BBF7A5" w:rsidR="00932BBF">
        <w:rPr>
          <w:sz w:val="22"/>
          <w:szCs w:val="22"/>
        </w:rPr>
        <w:t>consolidating</w:t>
      </w:r>
      <w:r w:rsidRPr="62BBF7A5" w:rsidR="00932BBF">
        <w:rPr>
          <w:sz w:val="22"/>
          <w:szCs w:val="22"/>
        </w:rPr>
        <w:t xml:space="preserve"> services, improving culturally safe encounters, and </w:t>
      </w:r>
      <w:r w:rsidRPr="62BBF7A5" w:rsidR="00932BBF">
        <w:rPr>
          <w:sz w:val="22"/>
          <w:szCs w:val="22"/>
        </w:rPr>
        <w:t>moving</w:t>
      </w:r>
      <w:r w:rsidRPr="62BBF7A5" w:rsidR="00932BBF">
        <w:rPr>
          <w:sz w:val="22"/>
          <w:szCs w:val="22"/>
        </w:rPr>
        <w:t xml:space="preserve"> more enrollment steps online with clearer checklists and reminders. The authors </w:t>
      </w:r>
      <w:r w:rsidRPr="62BBF7A5" w:rsidR="00932BBF">
        <w:rPr>
          <w:sz w:val="22"/>
          <w:szCs w:val="22"/>
        </w:rPr>
        <w:t>find</w:t>
      </w:r>
      <w:r w:rsidRPr="62BBF7A5" w:rsidR="00932BBF">
        <w:rPr>
          <w:sz w:val="22"/>
          <w:szCs w:val="22"/>
        </w:rPr>
        <w:t xml:space="preserve"> that tele-</w:t>
      </w:r>
      <w:r w:rsidRPr="62BBF7A5" w:rsidR="00932BBF">
        <w:rPr>
          <w:sz w:val="22"/>
          <w:szCs w:val="22"/>
        </w:rPr>
        <w:t>PrEP</w:t>
      </w:r>
      <w:r w:rsidRPr="62BBF7A5" w:rsidR="00932BBF">
        <w:rPr>
          <w:sz w:val="22"/>
          <w:szCs w:val="22"/>
        </w:rPr>
        <w:t xml:space="preserve"> access for Latinx MSM and trans women require</w:t>
      </w:r>
      <w:r w:rsidRPr="62BBF7A5" w:rsidR="00932BBF">
        <w:rPr>
          <w:sz w:val="22"/>
          <w:szCs w:val="22"/>
        </w:rPr>
        <w:t>s</w:t>
      </w:r>
      <w:r w:rsidRPr="62BBF7A5" w:rsidR="00932BBF">
        <w:rPr>
          <w:sz w:val="22"/>
          <w:szCs w:val="22"/>
        </w:rPr>
        <w:t xml:space="preserve"> streamlining the public program and strengthening facilitation to fit </w:t>
      </w:r>
      <w:r w:rsidRPr="62BBF7A5" w:rsidR="00932BBF">
        <w:rPr>
          <w:sz w:val="22"/>
          <w:szCs w:val="22"/>
        </w:rPr>
        <w:t>recipients’</w:t>
      </w:r>
      <w:r w:rsidRPr="62BBF7A5" w:rsidR="00932BBF">
        <w:rPr>
          <w:sz w:val="22"/>
          <w:szCs w:val="22"/>
        </w:rPr>
        <w:t xml:space="preserve"> lived realities</w:t>
      </w:r>
      <w:r w:rsidRPr="62BBF7A5" w:rsidR="00932BBF">
        <w:rPr>
          <w:sz w:val="22"/>
          <w:szCs w:val="22"/>
        </w:rPr>
        <w:t>.</w:t>
      </w:r>
      <w:r>
        <w:br/>
      </w:r>
    </w:p>
    <w:p w:rsidRPr="00932BBF" w:rsidR="0003263C" w:rsidP="52557DBB" w:rsidRDefault="61AE31F5" w14:paraId="098068AC" w14:textId="06B0F3B0">
      <w:pPr>
        <w:spacing w:line="240" w:lineRule="auto"/>
        <w:rPr>
          <w:rFonts w:ascii="Times New Roman" w:hAnsi="Times New Roman" w:eastAsia="Times New Roman" w:cs="Times New Roman"/>
          <w:sz w:val="22"/>
          <w:szCs w:val="22"/>
        </w:rPr>
      </w:pPr>
      <w:r w:rsidRPr="00932BBF">
        <w:rPr>
          <w:rFonts w:ascii="Times New Roman" w:hAnsi="Times New Roman" w:eastAsia="Times New Roman" w:cs="Times New Roman"/>
          <w:b/>
          <w:bCs/>
          <w:sz w:val="22"/>
          <w:szCs w:val="22"/>
        </w:rPr>
        <w:t>Population</w:t>
      </w:r>
      <w:r w:rsidRPr="00932BBF">
        <w:rPr>
          <w:rFonts w:ascii="Times New Roman" w:hAnsi="Times New Roman" w:eastAsia="Times New Roman" w:cs="Times New Roman"/>
          <w:sz w:val="22"/>
          <w:szCs w:val="22"/>
        </w:rPr>
        <w:t xml:space="preserve">: </w:t>
      </w:r>
      <w:r w:rsidRPr="00932BBF" w:rsidR="10D96E98">
        <w:rPr>
          <w:rFonts w:ascii="Times New Roman" w:hAnsi="Times New Roman" w:eastAsia="Times New Roman" w:cs="Times New Roman"/>
          <w:sz w:val="22"/>
          <w:szCs w:val="22"/>
        </w:rPr>
        <w:t xml:space="preserve">Latinx men who have sex with men (MSM) and transgender women </w:t>
      </w:r>
    </w:p>
    <w:p w:rsidRPr="00932BBF" w:rsidR="61AE31F5" w:rsidP="7631244A" w:rsidRDefault="61AE31F5" w14:paraId="23BE72EF" w14:textId="6D17C55A">
      <w:pPr>
        <w:spacing w:line="240" w:lineRule="auto"/>
        <w:rPr>
          <w:rFonts w:ascii="Times New Roman" w:hAnsi="Times New Roman" w:eastAsia="Times New Roman" w:cs="Times New Roman"/>
          <w:sz w:val="22"/>
          <w:szCs w:val="22"/>
        </w:rPr>
      </w:pPr>
      <w:r w:rsidRPr="00932BBF">
        <w:rPr>
          <w:rFonts w:ascii="Times New Roman" w:hAnsi="Times New Roman" w:eastAsia="Times New Roman" w:cs="Times New Roman"/>
          <w:b/>
          <w:bCs/>
          <w:sz w:val="22"/>
          <w:szCs w:val="22"/>
        </w:rPr>
        <w:t>Topic</w:t>
      </w:r>
      <w:r w:rsidRPr="00932BBF">
        <w:rPr>
          <w:rFonts w:ascii="Times New Roman" w:hAnsi="Times New Roman" w:eastAsia="Times New Roman" w:cs="Times New Roman"/>
          <w:sz w:val="22"/>
          <w:szCs w:val="22"/>
        </w:rPr>
        <w:t xml:space="preserve">: </w:t>
      </w:r>
      <w:r w:rsidRPr="00932BBF" w:rsidR="4BA93E1A">
        <w:rPr>
          <w:rFonts w:ascii="Times New Roman" w:hAnsi="Times New Roman" w:eastAsia="Times New Roman" w:cs="Times New Roman"/>
          <w:sz w:val="22"/>
          <w:szCs w:val="22"/>
        </w:rPr>
        <w:t>Improving access to Pre-Exposure Prophylaxis (</w:t>
      </w:r>
      <w:proofErr w:type="spellStart"/>
      <w:r w:rsidRPr="00932BBF" w:rsidR="4BA93E1A">
        <w:rPr>
          <w:rFonts w:ascii="Times New Roman" w:hAnsi="Times New Roman" w:eastAsia="Times New Roman" w:cs="Times New Roman"/>
          <w:sz w:val="22"/>
          <w:szCs w:val="22"/>
        </w:rPr>
        <w:t>PrEP</w:t>
      </w:r>
      <w:proofErr w:type="spellEnd"/>
      <w:r w:rsidRPr="00932BBF" w:rsidR="4BA93E1A">
        <w:rPr>
          <w:rFonts w:ascii="Times New Roman" w:hAnsi="Times New Roman" w:eastAsia="Times New Roman" w:cs="Times New Roman"/>
          <w:sz w:val="22"/>
          <w:szCs w:val="22"/>
        </w:rPr>
        <w:t>)</w:t>
      </w:r>
      <w:r w:rsidRPr="00932BBF" w:rsidR="3526424D">
        <w:rPr>
          <w:rFonts w:ascii="Times New Roman" w:hAnsi="Times New Roman" w:eastAsia="Times New Roman" w:cs="Times New Roman"/>
          <w:sz w:val="22"/>
          <w:szCs w:val="22"/>
        </w:rPr>
        <w:t xml:space="preserve"> </w:t>
      </w:r>
      <w:r w:rsidRPr="00932BBF" w:rsidR="636CE494">
        <w:rPr>
          <w:rFonts w:ascii="Times New Roman" w:hAnsi="Times New Roman" w:eastAsia="Times New Roman" w:cs="Times New Roman"/>
          <w:sz w:val="22"/>
          <w:szCs w:val="22"/>
        </w:rPr>
        <w:t>through a telemedicine program</w:t>
      </w:r>
    </w:p>
    <w:p w:rsidRPr="00932BBF" w:rsidR="0003263C" w:rsidP="52557DBB" w:rsidRDefault="61AE31F5" w14:paraId="2E32C2F4" w14:textId="6BBF9487">
      <w:pPr>
        <w:spacing w:after="0" w:line="240" w:lineRule="auto"/>
        <w:rPr>
          <w:rFonts w:ascii="Times New Roman" w:hAnsi="Times New Roman" w:eastAsia="Times New Roman" w:cs="Times New Roman"/>
          <w:sz w:val="22"/>
          <w:szCs w:val="22"/>
        </w:rPr>
      </w:pPr>
      <w:r w:rsidRPr="62BBF7A5" w:rsidR="61AE31F5">
        <w:rPr>
          <w:rFonts w:ascii="Times New Roman" w:hAnsi="Times New Roman" w:eastAsia="Times New Roman" w:cs="Times New Roman"/>
          <w:b w:val="1"/>
          <w:bCs w:val="1"/>
          <w:sz w:val="22"/>
          <w:szCs w:val="22"/>
        </w:rPr>
        <w:t>Setting</w:t>
      </w:r>
      <w:r w:rsidRPr="62BBF7A5" w:rsidR="61AE31F5">
        <w:rPr>
          <w:rFonts w:ascii="Times New Roman" w:hAnsi="Times New Roman" w:eastAsia="Times New Roman" w:cs="Times New Roman"/>
          <w:sz w:val="22"/>
          <w:szCs w:val="22"/>
        </w:rPr>
        <w:t>:</w:t>
      </w:r>
      <w:r w:rsidRPr="62BBF7A5" w:rsidR="26B40944">
        <w:rPr>
          <w:rFonts w:ascii="Times New Roman" w:hAnsi="Times New Roman" w:eastAsia="Times New Roman" w:cs="Times New Roman"/>
          <w:sz w:val="22"/>
          <w:szCs w:val="22"/>
        </w:rPr>
        <w:t xml:space="preserve"> </w:t>
      </w:r>
      <w:r w:rsidRPr="62BBF7A5" w:rsidR="571EDE91">
        <w:rPr>
          <w:rFonts w:ascii="Times New Roman" w:hAnsi="Times New Roman" w:eastAsia="Times New Roman" w:cs="Times New Roman"/>
          <w:sz w:val="22"/>
          <w:szCs w:val="22"/>
        </w:rPr>
        <w:t>Southern California</w:t>
      </w:r>
      <w:r>
        <w:br/>
      </w:r>
    </w:p>
    <w:p w:rsidRPr="00932BBF" w:rsidR="61AE31F5" w:rsidP="5D178687" w:rsidRDefault="61AE31F5" w14:paraId="744305CE" w14:textId="066818D5">
      <w:pPr>
        <w:spacing w:after="0" w:line="240" w:lineRule="auto"/>
        <w:rPr>
          <w:rFonts w:ascii="Times New Roman" w:hAnsi="Times New Roman" w:eastAsia="Times New Roman" w:cs="Times New Roman"/>
          <w:sz w:val="22"/>
          <w:szCs w:val="22"/>
        </w:rPr>
      </w:pPr>
      <w:r w:rsidRPr="00932BBF">
        <w:rPr>
          <w:rFonts w:ascii="Times New Roman" w:hAnsi="Times New Roman" w:eastAsia="Times New Roman" w:cs="Times New Roman"/>
          <w:b/>
          <w:bCs/>
          <w:sz w:val="22"/>
          <w:szCs w:val="22"/>
        </w:rPr>
        <w:t>Type of Study</w:t>
      </w:r>
      <w:r w:rsidRPr="00932BBF">
        <w:rPr>
          <w:rFonts w:ascii="Times New Roman" w:hAnsi="Times New Roman" w:eastAsia="Times New Roman" w:cs="Times New Roman"/>
          <w:sz w:val="22"/>
          <w:szCs w:val="22"/>
        </w:rPr>
        <w:t xml:space="preserve">: </w:t>
      </w:r>
      <w:r w:rsidRPr="00932BBF" w:rsidR="68494A21">
        <w:rPr>
          <w:rFonts w:ascii="Times New Roman" w:hAnsi="Times New Roman" w:eastAsia="Times New Roman" w:cs="Times New Roman"/>
          <w:sz w:val="22"/>
          <w:szCs w:val="22"/>
        </w:rPr>
        <w:t>Qualitative</w:t>
      </w:r>
    </w:p>
    <w:p w:rsidRPr="00932BBF" w:rsidR="61AE31F5" w:rsidP="7631244A" w:rsidRDefault="61AE31F5" w14:paraId="454A7553" w14:textId="24074995">
      <w:pPr>
        <w:spacing w:after="0" w:line="240" w:lineRule="auto"/>
        <w:rPr>
          <w:rFonts w:ascii="Times New Roman" w:hAnsi="Times New Roman" w:eastAsia="Times New Roman" w:cs="Times New Roman"/>
          <w:sz w:val="22"/>
          <w:szCs w:val="22"/>
        </w:rPr>
      </w:pPr>
      <w:r>
        <w:br/>
      </w:r>
      <w:r w:rsidRPr="62BBF7A5" w:rsidR="61AE31F5">
        <w:rPr>
          <w:rFonts w:ascii="Times New Roman" w:hAnsi="Times New Roman" w:eastAsia="Times New Roman" w:cs="Times New Roman"/>
          <w:b w:val="1"/>
          <w:bCs w:val="1"/>
          <w:sz w:val="22"/>
          <w:szCs w:val="22"/>
        </w:rPr>
        <w:t>Framework(s)</w:t>
      </w:r>
      <w:r w:rsidRPr="62BBF7A5" w:rsidR="61AE31F5">
        <w:rPr>
          <w:rFonts w:ascii="Times New Roman" w:hAnsi="Times New Roman" w:eastAsia="Times New Roman" w:cs="Times New Roman"/>
          <w:sz w:val="22"/>
          <w:szCs w:val="22"/>
        </w:rPr>
        <w:t xml:space="preserve">: </w:t>
      </w:r>
      <w:r w:rsidRPr="62BBF7A5" w:rsidR="45C7ECC0">
        <w:rPr>
          <w:rFonts w:ascii="Times New Roman" w:hAnsi="Times New Roman" w:eastAsia="Times New Roman" w:cs="Times New Roman"/>
          <w:sz w:val="22"/>
          <w:szCs w:val="22"/>
        </w:rPr>
        <w:t>PARiHS</w:t>
      </w:r>
    </w:p>
    <w:p w:rsidRPr="00932BBF" w:rsidR="0003263C" w:rsidP="52557DBB" w:rsidRDefault="61AE31F5" w14:paraId="6ABEC1C9" w14:textId="203942E7">
      <w:pPr>
        <w:spacing w:after="0" w:line="240" w:lineRule="auto"/>
        <w:rPr>
          <w:rFonts w:ascii="Times New Roman" w:hAnsi="Times New Roman" w:eastAsia="Times New Roman" w:cs="Times New Roman"/>
          <w:sz w:val="22"/>
          <w:szCs w:val="22"/>
        </w:rPr>
      </w:pPr>
      <w:r>
        <w:br/>
      </w:r>
      <w:r w:rsidRPr="62BBF7A5" w:rsidR="61AE31F5">
        <w:rPr>
          <w:rFonts w:ascii="Times New Roman" w:hAnsi="Times New Roman" w:eastAsia="Times New Roman" w:cs="Times New Roman"/>
          <w:b w:val="1"/>
          <w:bCs w:val="1"/>
          <w:sz w:val="22"/>
          <w:szCs w:val="22"/>
        </w:rPr>
        <w:t>Implementation stage</w:t>
      </w:r>
      <w:r w:rsidRPr="62BBF7A5" w:rsidR="61AE31F5">
        <w:rPr>
          <w:rFonts w:ascii="Times New Roman" w:hAnsi="Times New Roman" w:eastAsia="Times New Roman" w:cs="Times New Roman"/>
          <w:sz w:val="22"/>
          <w:szCs w:val="22"/>
        </w:rPr>
        <w:t xml:space="preserve">: </w:t>
      </w:r>
      <w:r w:rsidRPr="62BBF7A5" w:rsidR="30043BF6">
        <w:rPr>
          <w:rFonts w:ascii="Times New Roman" w:hAnsi="Times New Roman" w:eastAsia="Times New Roman" w:cs="Times New Roman"/>
          <w:sz w:val="22"/>
          <w:szCs w:val="22"/>
        </w:rPr>
        <w:t>Ongoing implementation</w:t>
      </w:r>
    </w:p>
    <w:p w:rsidRPr="00932BBF" w:rsidR="0003263C" w:rsidP="52557DBB" w:rsidRDefault="61AE31F5" w14:paraId="541C2043" w14:textId="2E0A5C80">
      <w:pPr>
        <w:spacing w:line="240" w:lineRule="auto"/>
        <w:rPr>
          <w:rFonts w:ascii="Times New Roman" w:hAnsi="Times New Roman" w:eastAsia="Times New Roman" w:cs="Times New Roman"/>
          <w:sz w:val="22"/>
          <w:szCs w:val="22"/>
        </w:rPr>
      </w:pPr>
      <w:r>
        <w:br/>
      </w:r>
      <w:r w:rsidRPr="62BBF7A5" w:rsidR="61AE31F5">
        <w:rPr>
          <w:rFonts w:ascii="Times New Roman" w:hAnsi="Times New Roman" w:eastAsia="Times New Roman" w:cs="Times New Roman"/>
          <w:b w:val="1"/>
          <w:bCs w:val="1"/>
          <w:sz w:val="22"/>
          <w:szCs w:val="22"/>
        </w:rPr>
        <w:t>Community partnership focus</w:t>
      </w:r>
      <w:r w:rsidRPr="62BBF7A5" w:rsidR="61AE31F5">
        <w:rPr>
          <w:rFonts w:ascii="Times New Roman" w:hAnsi="Times New Roman" w:eastAsia="Times New Roman" w:cs="Times New Roman"/>
          <w:sz w:val="22"/>
          <w:szCs w:val="22"/>
        </w:rPr>
        <w:t xml:space="preserve">: </w:t>
      </w:r>
      <w:r w:rsidRPr="62BBF7A5" w:rsidR="588AC4C4">
        <w:rPr>
          <w:rFonts w:ascii="Times New Roman" w:hAnsi="Times New Roman" w:eastAsia="Times New Roman" w:cs="Times New Roman"/>
          <w:sz w:val="22"/>
          <w:szCs w:val="22"/>
        </w:rPr>
        <w:t xml:space="preserve">Online stakeholder interviews and online community focus groups with Latinx MSM and trans women </w:t>
      </w:r>
    </w:p>
    <w:p w:rsidRPr="00932BBF" w:rsidR="3F0E6E04" w:rsidP="3F0E6E04" w:rsidRDefault="61AE31F5" w14:paraId="09E90191" w14:textId="617E440B">
      <w:pPr>
        <w:spacing w:line="240" w:lineRule="auto"/>
        <w:rPr>
          <w:rFonts w:ascii="Times New Roman" w:hAnsi="Times New Roman" w:eastAsia="Times New Roman" w:cs="Times New Roman"/>
          <w:sz w:val="22"/>
          <w:szCs w:val="22"/>
        </w:rPr>
      </w:pPr>
      <w:r w:rsidRPr="00932BBF">
        <w:rPr>
          <w:rFonts w:ascii="Times New Roman" w:hAnsi="Times New Roman" w:eastAsia="Times New Roman" w:cs="Times New Roman"/>
          <w:b/>
          <w:bCs/>
          <w:sz w:val="22"/>
          <w:szCs w:val="22"/>
        </w:rPr>
        <w:t>HIV pillars</w:t>
      </w:r>
      <w:r w:rsidRPr="00932BBF">
        <w:rPr>
          <w:rFonts w:ascii="Times New Roman" w:hAnsi="Times New Roman" w:eastAsia="Times New Roman" w:cs="Times New Roman"/>
          <w:sz w:val="22"/>
          <w:szCs w:val="22"/>
        </w:rPr>
        <w:t>:</w:t>
      </w:r>
      <w:r w:rsidRPr="00932BBF" w:rsidR="4B295CC3">
        <w:rPr>
          <w:rFonts w:ascii="Times New Roman" w:hAnsi="Times New Roman" w:eastAsia="Times New Roman" w:cs="Times New Roman"/>
          <w:sz w:val="22"/>
          <w:szCs w:val="22"/>
        </w:rPr>
        <w:t xml:space="preserve"> </w:t>
      </w:r>
      <w:r w:rsidRPr="00932BBF" w:rsidR="1577099B">
        <w:rPr>
          <w:rFonts w:ascii="Times New Roman" w:hAnsi="Times New Roman" w:eastAsia="Times New Roman" w:cs="Times New Roman"/>
          <w:sz w:val="22"/>
          <w:szCs w:val="22"/>
        </w:rPr>
        <w:t>Diagnose</w:t>
      </w:r>
      <w:r w:rsidRPr="00932BBF" w:rsidR="426E6FCA">
        <w:rPr>
          <w:rFonts w:ascii="Times New Roman" w:hAnsi="Times New Roman" w:eastAsia="Times New Roman" w:cs="Times New Roman"/>
          <w:sz w:val="22"/>
          <w:szCs w:val="22"/>
        </w:rPr>
        <w:t>, prevent</w:t>
      </w:r>
    </w:p>
    <w:p w:rsidRPr="00932BBF" w:rsidR="0003263C" w:rsidP="52557DBB" w:rsidRDefault="61AE31F5" w14:paraId="54835337" w14:textId="7387E8EA">
      <w:pPr>
        <w:spacing w:line="240" w:lineRule="auto"/>
        <w:rPr>
          <w:rFonts w:ascii="Times New Roman" w:hAnsi="Times New Roman" w:eastAsia="Times New Roman" w:cs="Times New Roman"/>
          <w:sz w:val="22"/>
          <w:szCs w:val="22"/>
        </w:rPr>
      </w:pPr>
      <w:r w:rsidRPr="00932BBF">
        <w:rPr>
          <w:rFonts w:ascii="Times New Roman" w:hAnsi="Times New Roman" w:eastAsia="Times New Roman" w:cs="Times New Roman"/>
          <w:b/>
          <w:bCs/>
          <w:sz w:val="22"/>
          <w:szCs w:val="22"/>
        </w:rPr>
        <w:t>Implementation strategies</w:t>
      </w:r>
      <w:r w:rsidRPr="00932BBF">
        <w:rPr>
          <w:rFonts w:ascii="Times New Roman" w:hAnsi="Times New Roman" w:eastAsia="Times New Roman" w:cs="Times New Roman"/>
          <w:sz w:val="22"/>
          <w:szCs w:val="22"/>
        </w:rPr>
        <w:t>:</w:t>
      </w:r>
      <w:r w:rsidRPr="00932BBF" w:rsidR="61A781E2">
        <w:rPr>
          <w:rFonts w:ascii="Times New Roman" w:hAnsi="Times New Roman" w:eastAsia="Times New Roman" w:cs="Times New Roman"/>
          <w:sz w:val="22"/>
          <w:szCs w:val="22"/>
        </w:rPr>
        <w:t xml:space="preserve"> </w:t>
      </w:r>
      <w:r w:rsidRPr="00932BBF" w:rsidR="1D7587C9">
        <w:rPr>
          <w:rFonts w:ascii="Times New Roman" w:hAnsi="Times New Roman" w:eastAsia="Times New Roman" w:cs="Times New Roman"/>
          <w:sz w:val="22"/>
          <w:szCs w:val="22"/>
        </w:rPr>
        <w:t>Identifying obstacles: complicated enrollment process, preference for in-person care, low awareness of programs, and challenges to fulfill enrollment requirements</w:t>
      </w:r>
    </w:p>
    <w:p w:rsidRPr="00932BBF" w:rsidR="0003263C" w:rsidP="52557DBB" w:rsidRDefault="61AE31F5" w14:paraId="6C040DE6" w14:textId="3FFF5A8F">
      <w:pPr>
        <w:spacing w:line="240" w:lineRule="auto"/>
        <w:rPr>
          <w:rFonts w:ascii="Times New Roman" w:hAnsi="Times New Roman" w:eastAsia="Times New Roman" w:cs="Times New Roman"/>
          <w:sz w:val="22"/>
          <w:szCs w:val="22"/>
        </w:rPr>
      </w:pPr>
      <w:r w:rsidRPr="00932BBF">
        <w:rPr>
          <w:rFonts w:ascii="Times New Roman" w:hAnsi="Times New Roman" w:eastAsia="Times New Roman" w:cs="Times New Roman"/>
          <w:b/>
          <w:bCs/>
          <w:sz w:val="22"/>
          <w:szCs w:val="22"/>
        </w:rPr>
        <w:t>Where TMF was applied</w:t>
      </w:r>
      <w:r w:rsidRPr="00932BBF">
        <w:rPr>
          <w:rFonts w:ascii="Times New Roman" w:hAnsi="Times New Roman" w:eastAsia="Times New Roman" w:cs="Times New Roman"/>
          <w:sz w:val="22"/>
          <w:szCs w:val="22"/>
        </w:rPr>
        <w:t xml:space="preserve">: </w:t>
      </w:r>
      <w:r w:rsidRPr="00932BBF" w:rsidR="4954C561">
        <w:rPr>
          <w:rFonts w:ascii="Times New Roman" w:hAnsi="Times New Roman" w:eastAsia="Times New Roman" w:cs="Times New Roman"/>
          <w:sz w:val="22"/>
          <w:szCs w:val="22"/>
        </w:rPr>
        <w:t>Diagnostic tool, identifying and characterizing factors affecting implementation</w:t>
      </w:r>
    </w:p>
    <w:p w:rsidRPr="00932BBF" w:rsidR="0003263C" w:rsidP="52557DBB" w:rsidRDefault="61AE31F5" w14:paraId="2004DD3C" w14:textId="4241FC09">
      <w:pPr>
        <w:spacing w:line="240" w:lineRule="auto"/>
        <w:rPr>
          <w:rFonts w:ascii="Times New Roman" w:hAnsi="Times New Roman" w:eastAsia="Times New Roman" w:cs="Times New Roman"/>
          <w:sz w:val="22"/>
          <w:szCs w:val="22"/>
        </w:rPr>
      </w:pPr>
      <w:r w:rsidRPr="00932BBF">
        <w:rPr>
          <w:rFonts w:ascii="Times New Roman" w:hAnsi="Times New Roman" w:eastAsia="Times New Roman" w:cs="Times New Roman"/>
          <w:b/>
          <w:bCs/>
          <w:sz w:val="22"/>
          <w:szCs w:val="22"/>
        </w:rPr>
        <w:t>How TMF is operationalized</w:t>
      </w:r>
      <w:r w:rsidRPr="00932BBF">
        <w:rPr>
          <w:rFonts w:ascii="Times New Roman" w:hAnsi="Times New Roman" w:eastAsia="Times New Roman" w:cs="Times New Roman"/>
          <w:sz w:val="22"/>
          <w:szCs w:val="22"/>
        </w:rPr>
        <w:t xml:space="preserve">: </w:t>
      </w:r>
      <w:r w:rsidRPr="00932BBF" w:rsidR="4E10C959">
        <w:rPr>
          <w:rFonts w:ascii="Times New Roman" w:hAnsi="Times New Roman" w:eastAsia="Times New Roman" w:cs="Times New Roman"/>
          <w:sz w:val="22"/>
          <w:szCs w:val="22"/>
        </w:rPr>
        <w:t xml:space="preserve">The </w:t>
      </w:r>
      <w:r w:rsidRPr="00932BBF" w:rsidR="3BAA5719">
        <w:rPr>
          <w:rFonts w:ascii="Times New Roman" w:hAnsi="Times New Roman" w:eastAsia="Times New Roman" w:cs="Times New Roman"/>
          <w:sz w:val="22"/>
          <w:szCs w:val="22"/>
        </w:rPr>
        <w:t xml:space="preserve">PARiHS </w:t>
      </w:r>
      <w:r w:rsidRPr="00932BBF" w:rsidR="4E10C959">
        <w:rPr>
          <w:rFonts w:ascii="Times New Roman" w:hAnsi="Times New Roman" w:eastAsia="Times New Roman" w:cs="Times New Roman"/>
          <w:sz w:val="22"/>
          <w:szCs w:val="22"/>
        </w:rPr>
        <w:t xml:space="preserve">framework was operationalized by guiding the qualitative study design (in-depth stakeholder interviews and community focus groups) to identify and characterize obstacles. The goal was to provide insights that could be used for future improvement of the </w:t>
      </w:r>
      <w:proofErr w:type="spellStart"/>
      <w:r w:rsidRPr="00932BBF" w:rsidR="4E10C959">
        <w:rPr>
          <w:rFonts w:ascii="Times New Roman" w:hAnsi="Times New Roman" w:eastAsia="Times New Roman" w:cs="Times New Roman"/>
          <w:sz w:val="22"/>
          <w:szCs w:val="22"/>
        </w:rPr>
        <w:t>PrEP</w:t>
      </w:r>
      <w:proofErr w:type="spellEnd"/>
      <w:r w:rsidRPr="00932BBF" w:rsidR="4E10C959">
        <w:rPr>
          <w:rFonts w:ascii="Times New Roman" w:hAnsi="Times New Roman" w:eastAsia="Times New Roman" w:cs="Times New Roman"/>
          <w:sz w:val="22"/>
          <w:szCs w:val="22"/>
        </w:rPr>
        <w:t xml:space="preserve"> telemedicine program.</w:t>
      </w:r>
    </w:p>
    <w:p w:rsidRPr="00932BBF" w:rsidR="00932BBF" w:rsidP="00932BBF" w:rsidRDefault="61AE31F5" w14:paraId="11F4E059" w14:textId="57D89953">
      <w:pPr>
        <w:pStyle w:val="NormalWeb"/>
        <w:rPr>
          <w:sz w:val="22"/>
          <w:szCs w:val="22"/>
        </w:rPr>
      </w:pPr>
      <w:r>
        <w:br/>
      </w:r>
      <w:r w:rsidRPr="5B04350F" w:rsidR="61AE31F5">
        <w:rPr>
          <w:b w:val="1"/>
          <w:bCs w:val="1"/>
          <w:sz w:val="22"/>
          <w:szCs w:val="22"/>
        </w:rPr>
        <w:t>Contribution to D&amp;I Science</w:t>
      </w:r>
      <w:r w:rsidRPr="5B04350F" w:rsidR="61AE31F5">
        <w:rPr>
          <w:sz w:val="22"/>
          <w:szCs w:val="22"/>
        </w:rPr>
        <w:t>:</w:t>
      </w:r>
      <w:r w:rsidRPr="5B04350F" w:rsidR="00932BBF">
        <w:rPr>
          <w:sz w:val="22"/>
          <w:szCs w:val="22"/>
        </w:rPr>
        <w:t xml:space="preserve"> </w:t>
      </w:r>
      <w:r w:rsidRPr="5B04350F" w:rsidR="00932BBF">
        <w:rPr>
          <w:sz w:val="22"/>
          <w:szCs w:val="22"/>
        </w:rPr>
        <w:t xml:space="preserve">This article contributes to D&amp;I science by </w:t>
      </w:r>
      <w:r w:rsidRPr="5B04350F" w:rsidR="00932BBF">
        <w:rPr>
          <w:sz w:val="22"/>
          <w:szCs w:val="22"/>
        </w:rPr>
        <w:t>demonstrating</w:t>
      </w:r>
      <w:r w:rsidRPr="5B04350F" w:rsidR="00932BBF">
        <w:rPr>
          <w:sz w:val="22"/>
          <w:szCs w:val="22"/>
        </w:rPr>
        <w:t xml:space="preserve"> how </w:t>
      </w:r>
      <w:r w:rsidRPr="5B04350F" w:rsidR="4643C7E8">
        <w:rPr>
          <w:sz w:val="22"/>
          <w:szCs w:val="22"/>
        </w:rPr>
        <w:t>the integrated Promoting Action on Research Implementation in Health Services (</w:t>
      </w:r>
      <w:r w:rsidRPr="5B04350F" w:rsidR="00932BBF">
        <w:rPr>
          <w:sz w:val="22"/>
          <w:szCs w:val="22"/>
        </w:rPr>
        <w:t>i</w:t>
      </w:r>
      <w:r w:rsidRPr="5B04350F" w:rsidR="00932BBF">
        <w:rPr>
          <w:sz w:val="22"/>
          <w:szCs w:val="22"/>
        </w:rPr>
        <w:t>-PARIHS</w:t>
      </w:r>
      <w:r w:rsidRPr="5B04350F" w:rsidR="578F0262">
        <w:rPr>
          <w:sz w:val="22"/>
          <w:szCs w:val="22"/>
        </w:rPr>
        <w:t>) framework</w:t>
      </w:r>
      <w:r w:rsidRPr="5B04350F" w:rsidR="00932BBF">
        <w:rPr>
          <w:sz w:val="22"/>
          <w:szCs w:val="22"/>
        </w:rPr>
        <w:t xml:space="preserve"> can </w:t>
      </w:r>
      <w:r w:rsidRPr="5B04350F" w:rsidR="00932BBF">
        <w:rPr>
          <w:sz w:val="22"/>
          <w:szCs w:val="22"/>
        </w:rPr>
        <w:t>be used</w:t>
      </w:r>
      <w:r w:rsidRPr="5B04350F" w:rsidR="00932BBF">
        <w:rPr>
          <w:sz w:val="22"/>
          <w:szCs w:val="22"/>
        </w:rPr>
        <w:t xml:space="preserve"> as a</w:t>
      </w:r>
      <w:r w:rsidRPr="5B04350F" w:rsidR="1D9409F8">
        <w:rPr>
          <w:sz w:val="22"/>
          <w:szCs w:val="22"/>
        </w:rPr>
        <w:t>n implementation</w:t>
      </w:r>
      <w:r w:rsidRPr="5B04350F" w:rsidR="00932BBF">
        <w:rPr>
          <w:sz w:val="22"/>
          <w:szCs w:val="22"/>
        </w:rPr>
        <w:t xml:space="preserve"> diagnostic</w:t>
      </w:r>
      <w:r w:rsidRPr="5B04350F" w:rsidR="6E781C32">
        <w:rPr>
          <w:sz w:val="22"/>
          <w:szCs w:val="22"/>
        </w:rPr>
        <w:t xml:space="preserve"> and evaluative</w:t>
      </w:r>
      <w:r w:rsidRPr="5B04350F" w:rsidR="00932BBF">
        <w:rPr>
          <w:sz w:val="22"/>
          <w:szCs w:val="22"/>
        </w:rPr>
        <w:t xml:space="preserve"> tool</w:t>
      </w:r>
      <w:r w:rsidRPr="5B04350F" w:rsidR="030DB52E">
        <w:rPr>
          <w:sz w:val="22"/>
          <w:szCs w:val="22"/>
        </w:rPr>
        <w:t xml:space="preserve">. </w:t>
      </w:r>
      <w:r w:rsidRPr="5B04350F" w:rsidR="00932BBF">
        <w:rPr>
          <w:sz w:val="22"/>
          <w:szCs w:val="22"/>
        </w:rPr>
        <w:t xml:space="preserve"> </w:t>
      </w:r>
      <w:r w:rsidRPr="5B04350F" w:rsidR="00932BBF">
        <w:rPr>
          <w:sz w:val="22"/>
          <w:szCs w:val="22"/>
        </w:rPr>
        <w:t>T</w:t>
      </w:r>
      <w:r w:rsidRPr="5B04350F" w:rsidR="00932BBF">
        <w:rPr>
          <w:sz w:val="22"/>
          <w:szCs w:val="22"/>
        </w:rPr>
        <w:t xml:space="preserve">he study </w:t>
      </w:r>
      <w:r w:rsidRPr="5B04350F" w:rsidR="00932BBF">
        <w:rPr>
          <w:sz w:val="22"/>
          <w:szCs w:val="22"/>
        </w:rPr>
        <w:t>identifies</w:t>
      </w:r>
      <w:r w:rsidRPr="5B04350F" w:rsidR="00932BBF">
        <w:rPr>
          <w:sz w:val="22"/>
          <w:szCs w:val="22"/>
        </w:rPr>
        <w:t xml:space="preserve"> </w:t>
      </w:r>
      <w:r w:rsidRPr="5B04350F" w:rsidR="154D4389">
        <w:rPr>
          <w:sz w:val="22"/>
          <w:szCs w:val="22"/>
        </w:rPr>
        <w:t xml:space="preserve">implementation </w:t>
      </w:r>
      <w:r w:rsidRPr="5B04350F" w:rsidR="00932BBF">
        <w:rPr>
          <w:sz w:val="22"/>
          <w:szCs w:val="22"/>
        </w:rPr>
        <w:t xml:space="preserve">determinants </w:t>
      </w:r>
      <w:r w:rsidRPr="5B04350F" w:rsidR="00932BBF">
        <w:rPr>
          <w:sz w:val="22"/>
          <w:szCs w:val="22"/>
        </w:rPr>
        <w:t>f</w:t>
      </w:r>
      <w:r w:rsidRPr="5B04350F" w:rsidR="421C7ACC">
        <w:rPr>
          <w:sz w:val="22"/>
          <w:szCs w:val="22"/>
        </w:rPr>
        <w:t>of</w:t>
      </w:r>
      <w:r w:rsidRPr="5B04350F" w:rsidR="421C7ACC">
        <w:rPr>
          <w:sz w:val="22"/>
          <w:szCs w:val="22"/>
        </w:rPr>
        <w:t xml:space="preserve"> </w:t>
      </w:r>
      <w:r w:rsidRPr="5B04350F" w:rsidR="2E65EA26">
        <w:rPr>
          <w:sz w:val="22"/>
          <w:szCs w:val="22"/>
        </w:rPr>
        <w:t xml:space="preserve">the </w:t>
      </w:r>
      <w:r w:rsidRPr="5B04350F" w:rsidR="2E65EA26">
        <w:rPr>
          <w:sz w:val="22"/>
          <w:szCs w:val="22"/>
        </w:rPr>
        <w:t>Caliofnira</w:t>
      </w:r>
      <w:r w:rsidRPr="5B04350F" w:rsidR="2E65EA26">
        <w:rPr>
          <w:sz w:val="22"/>
          <w:szCs w:val="22"/>
        </w:rPr>
        <w:t xml:space="preserve"> state-sponsored</w:t>
      </w:r>
      <w:r w:rsidRPr="5B04350F" w:rsidR="42F46604">
        <w:rPr>
          <w:sz w:val="22"/>
          <w:szCs w:val="22"/>
        </w:rPr>
        <w:t xml:space="preserve"> </w:t>
      </w:r>
      <w:r w:rsidRPr="5B04350F" w:rsidR="42F46604">
        <w:rPr>
          <w:sz w:val="22"/>
          <w:szCs w:val="22"/>
        </w:rPr>
        <w:t>PrEP</w:t>
      </w:r>
      <w:r w:rsidRPr="5B04350F" w:rsidR="421C7ACC">
        <w:rPr>
          <w:sz w:val="22"/>
          <w:szCs w:val="22"/>
        </w:rPr>
        <w:t xml:space="preserve"> </w:t>
      </w:r>
      <w:r w:rsidRPr="5B04350F" w:rsidR="421C7ACC">
        <w:rPr>
          <w:sz w:val="22"/>
          <w:szCs w:val="22"/>
        </w:rPr>
        <w:t xml:space="preserve">telemedicine </w:t>
      </w:r>
      <w:r w:rsidRPr="5B04350F" w:rsidR="64C88D9F">
        <w:rPr>
          <w:sz w:val="22"/>
          <w:szCs w:val="22"/>
        </w:rPr>
        <w:t>program</w:t>
      </w:r>
      <w:r w:rsidRPr="5B04350F" w:rsidR="00932BBF">
        <w:rPr>
          <w:sz w:val="22"/>
          <w:szCs w:val="22"/>
        </w:rPr>
        <w:t xml:space="preserve">. </w:t>
      </w:r>
      <w:r w:rsidRPr="5B04350F" w:rsidR="39FAF9F5">
        <w:rPr>
          <w:sz w:val="22"/>
          <w:szCs w:val="22"/>
        </w:rPr>
        <w:t>Primary barriers of implementation from stakeholders’ perspectives inc</w:t>
      </w:r>
      <w:r w:rsidRPr="5B04350F" w:rsidR="39FAF9F5">
        <w:rPr>
          <w:sz w:val="22"/>
          <w:szCs w:val="22"/>
        </w:rPr>
        <w:t>l</w:t>
      </w:r>
      <w:r w:rsidRPr="5B04350F" w:rsidR="39FAF9F5">
        <w:rPr>
          <w:sz w:val="22"/>
          <w:szCs w:val="22"/>
        </w:rPr>
        <w:t xml:space="preserve">uded a complicated enrollment process, a preference for in-person care, and more appealing private sector models of </w:t>
      </w:r>
      <w:r w:rsidRPr="5B04350F" w:rsidR="39FAF9F5">
        <w:rPr>
          <w:sz w:val="22"/>
          <w:szCs w:val="22"/>
        </w:rPr>
        <w:t>PrEP</w:t>
      </w:r>
      <w:r w:rsidRPr="5B04350F" w:rsidR="39FAF9F5">
        <w:rPr>
          <w:sz w:val="22"/>
          <w:szCs w:val="22"/>
        </w:rPr>
        <w:t>.</w:t>
      </w:r>
      <w:r w:rsidRPr="5B04350F" w:rsidR="39FAF9F5">
        <w:rPr>
          <w:sz w:val="22"/>
          <w:szCs w:val="22"/>
        </w:rPr>
        <w:t xml:space="preserve"> Additionally, community members reported low aware</w:t>
      </w:r>
      <w:r w:rsidRPr="5B04350F" w:rsidR="6C66B155">
        <w:rPr>
          <w:sz w:val="22"/>
          <w:szCs w:val="22"/>
        </w:rPr>
        <w:t xml:space="preserve">ness of the </w:t>
      </w:r>
      <w:r w:rsidRPr="5B04350F" w:rsidR="6C66B155">
        <w:rPr>
          <w:sz w:val="22"/>
          <w:szCs w:val="22"/>
        </w:rPr>
        <w:t>PrEP</w:t>
      </w:r>
      <w:r w:rsidRPr="5B04350F" w:rsidR="6C66B155">
        <w:rPr>
          <w:sz w:val="22"/>
          <w:szCs w:val="22"/>
        </w:rPr>
        <w:t xml:space="preserve"> telemedicine program, fear of complications due to immigration status, and </w:t>
      </w:r>
      <w:r w:rsidRPr="5B04350F" w:rsidR="6C66B155">
        <w:rPr>
          <w:sz w:val="22"/>
          <w:szCs w:val="22"/>
        </w:rPr>
        <w:t>challenging</w:t>
      </w:r>
      <w:r w:rsidRPr="5B04350F" w:rsidR="6C66B155">
        <w:rPr>
          <w:sz w:val="22"/>
          <w:szCs w:val="22"/>
        </w:rPr>
        <w:t xml:space="preserve"> in fulfilling enrollment requirements.</w:t>
      </w:r>
      <w:r w:rsidRPr="5B04350F" w:rsidR="39FAF9F5">
        <w:rPr>
          <w:sz w:val="22"/>
          <w:szCs w:val="22"/>
        </w:rPr>
        <w:t xml:space="preserve"> </w:t>
      </w:r>
      <w:r>
        <w:br/>
      </w:r>
    </w:p>
    <w:p w:rsidRPr="00932BBF" w:rsidR="00932BBF" w:rsidP="00932BBF" w:rsidRDefault="00932BBF" w14:paraId="7A4F6AEE" w14:textId="6099017E">
      <w:pPr>
        <w:pStyle w:val="NormalWeb"/>
        <w:rPr>
          <w:sz w:val="22"/>
          <w:szCs w:val="22"/>
        </w:rPr>
      </w:pPr>
      <w:r w:rsidRPr="5B04350F" w:rsidR="00932BBF">
        <w:rPr>
          <w:sz w:val="22"/>
          <w:szCs w:val="22"/>
        </w:rPr>
        <w:t xml:space="preserve">The </w:t>
      </w:r>
      <w:r w:rsidRPr="5B04350F" w:rsidR="00932BBF">
        <w:rPr>
          <w:sz w:val="22"/>
          <w:szCs w:val="22"/>
        </w:rPr>
        <w:t>study</w:t>
      </w:r>
      <w:r w:rsidRPr="5B04350F" w:rsidR="00932BBF">
        <w:rPr>
          <w:sz w:val="22"/>
          <w:szCs w:val="22"/>
        </w:rPr>
        <w:t xml:space="preserve"> </w:t>
      </w:r>
      <w:r w:rsidRPr="5B04350F" w:rsidR="00932BBF">
        <w:rPr>
          <w:sz w:val="22"/>
          <w:szCs w:val="22"/>
        </w:rPr>
        <w:t>shows</w:t>
      </w:r>
      <w:r w:rsidRPr="5B04350F" w:rsidR="00932BBF">
        <w:rPr>
          <w:sz w:val="22"/>
          <w:szCs w:val="22"/>
        </w:rPr>
        <w:t xml:space="preserve"> how implementation </w:t>
      </w:r>
      <w:r w:rsidRPr="5B04350F" w:rsidR="00932BBF">
        <w:rPr>
          <w:sz w:val="22"/>
          <w:szCs w:val="22"/>
        </w:rPr>
        <w:t xml:space="preserve">depends on reducing administrative burden and aligning </w:t>
      </w:r>
      <w:r w:rsidRPr="5B04350F" w:rsidR="00932BBF">
        <w:rPr>
          <w:sz w:val="22"/>
          <w:szCs w:val="22"/>
        </w:rPr>
        <w:t>plans</w:t>
      </w:r>
      <w:r w:rsidRPr="5B04350F" w:rsidR="00932BBF">
        <w:rPr>
          <w:sz w:val="22"/>
          <w:szCs w:val="22"/>
        </w:rPr>
        <w:t xml:space="preserve"> with recipients’ social conditions. </w:t>
      </w:r>
      <w:r w:rsidRPr="5B04350F" w:rsidR="00932BBF">
        <w:rPr>
          <w:sz w:val="22"/>
          <w:szCs w:val="22"/>
        </w:rPr>
        <w:t xml:space="preserve">The study </w:t>
      </w:r>
      <w:r w:rsidRPr="5B04350F" w:rsidR="6ABF8183">
        <w:rPr>
          <w:sz w:val="22"/>
          <w:szCs w:val="22"/>
        </w:rPr>
        <w:t>recommends the integr</w:t>
      </w:r>
      <w:r w:rsidRPr="5B04350F" w:rsidR="6ABF8183">
        <w:rPr>
          <w:sz w:val="22"/>
          <w:szCs w:val="22"/>
        </w:rPr>
        <w:t xml:space="preserve">ation of user-focused design with the </w:t>
      </w:r>
      <w:r w:rsidRPr="5B04350F" w:rsidR="6ABF8183">
        <w:rPr>
          <w:sz w:val="22"/>
          <w:szCs w:val="22"/>
        </w:rPr>
        <w:t>i</w:t>
      </w:r>
      <w:r w:rsidRPr="5B04350F" w:rsidR="6ABF8183">
        <w:rPr>
          <w:sz w:val="22"/>
          <w:szCs w:val="22"/>
        </w:rPr>
        <w:t xml:space="preserve">-PARIHS </w:t>
      </w:r>
      <w:r w:rsidRPr="5B04350F" w:rsidR="6ABF8183">
        <w:rPr>
          <w:sz w:val="22"/>
          <w:szCs w:val="22"/>
        </w:rPr>
        <w:t>framework</w:t>
      </w:r>
      <w:r w:rsidRPr="5B04350F" w:rsidR="6ABF8183">
        <w:rPr>
          <w:sz w:val="22"/>
          <w:szCs w:val="22"/>
        </w:rPr>
        <w:t xml:space="preserve"> to a</w:t>
      </w:r>
      <w:r w:rsidRPr="5B04350F" w:rsidR="6ABF8183">
        <w:rPr>
          <w:sz w:val="22"/>
          <w:szCs w:val="22"/>
        </w:rPr>
        <w:t>c</w:t>
      </w:r>
      <w:r w:rsidRPr="5B04350F" w:rsidR="6ABF8183">
        <w:rPr>
          <w:sz w:val="22"/>
          <w:szCs w:val="22"/>
        </w:rPr>
        <w:t xml:space="preserve">hieve a more comprehensive evaluation of program </w:t>
      </w:r>
      <w:r w:rsidRPr="5B04350F" w:rsidR="6ABF8183">
        <w:rPr>
          <w:sz w:val="22"/>
          <w:szCs w:val="22"/>
        </w:rPr>
        <w:t>implementation</w:t>
      </w:r>
      <w:r w:rsidRPr="5B04350F" w:rsidR="6ABF8183">
        <w:rPr>
          <w:sz w:val="22"/>
          <w:szCs w:val="22"/>
        </w:rPr>
        <w:t xml:space="preserve">. </w:t>
      </w:r>
    </w:p>
    <w:p w:rsidRPr="00932BBF" w:rsidR="0003263C" w:rsidP="52557DBB" w:rsidRDefault="0003263C" w14:paraId="616A3F03" w14:textId="53C619EE">
      <w:pPr>
        <w:spacing w:line="240" w:lineRule="auto"/>
        <w:rPr>
          <w:rFonts w:ascii="Times New Roman" w:hAnsi="Times New Roman" w:eastAsia="Times New Roman" w:cs="Times New Roman"/>
          <w:sz w:val="22"/>
          <w:szCs w:val="22"/>
        </w:rPr>
      </w:pPr>
    </w:p>
    <w:p w:rsidRPr="00932BBF" w:rsidR="0003263C" w:rsidP="52557DBB" w:rsidRDefault="0003263C" w14:paraId="2C078E63" w14:textId="47F3F209">
      <w:pPr>
        <w:spacing w:line="240" w:lineRule="auto"/>
        <w:rPr>
          <w:rFonts w:ascii="Times New Roman" w:hAnsi="Times New Roman" w:eastAsia="Times New Roman" w:cs="Times New Roman"/>
          <w:sz w:val="22"/>
          <w:szCs w:val="22"/>
        </w:rPr>
      </w:pPr>
    </w:p>
    <w:sectPr w:rsidRPr="00932BBF" w:rsidR="0003263C">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5B079"/>
    <w:multiLevelType w:val="hybridMultilevel"/>
    <w:tmpl w:val="554E2990"/>
    <w:lvl w:ilvl="0" w:tplc="C9E886D6">
      <w:start w:val="1"/>
      <w:numFmt w:val="bullet"/>
      <w:lvlText w:val=""/>
      <w:lvlJc w:val="left"/>
      <w:pPr>
        <w:ind w:left="720" w:hanging="360"/>
      </w:pPr>
      <w:rPr>
        <w:rFonts w:hint="default" w:ascii="Symbol" w:hAnsi="Symbol"/>
      </w:rPr>
    </w:lvl>
    <w:lvl w:ilvl="1" w:tplc="232801A0">
      <w:start w:val="1"/>
      <w:numFmt w:val="bullet"/>
      <w:lvlText w:val="o"/>
      <w:lvlJc w:val="left"/>
      <w:pPr>
        <w:ind w:left="1440" w:hanging="360"/>
      </w:pPr>
      <w:rPr>
        <w:rFonts w:hint="default" w:ascii="Courier New" w:hAnsi="Courier New"/>
      </w:rPr>
    </w:lvl>
    <w:lvl w:ilvl="2" w:tplc="D7A8CBBC">
      <w:start w:val="1"/>
      <w:numFmt w:val="bullet"/>
      <w:lvlText w:val=""/>
      <w:lvlJc w:val="left"/>
      <w:pPr>
        <w:ind w:left="2160" w:hanging="360"/>
      </w:pPr>
      <w:rPr>
        <w:rFonts w:hint="default" w:ascii="Wingdings" w:hAnsi="Wingdings"/>
      </w:rPr>
    </w:lvl>
    <w:lvl w:ilvl="3" w:tplc="A2A4EBB0">
      <w:start w:val="1"/>
      <w:numFmt w:val="bullet"/>
      <w:lvlText w:val=""/>
      <w:lvlJc w:val="left"/>
      <w:pPr>
        <w:ind w:left="2880" w:hanging="360"/>
      </w:pPr>
      <w:rPr>
        <w:rFonts w:hint="default" w:ascii="Symbol" w:hAnsi="Symbol"/>
      </w:rPr>
    </w:lvl>
    <w:lvl w:ilvl="4" w:tplc="8326A87E">
      <w:start w:val="1"/>
      <w:numFmt w:val="bullet"/>
      <w:lvlText w:val="o"/>
      <w:lvlJc w:val="left"/>
      <w:pPr>
        <w:ind w:left="3600" w:hanging="360"/>
      </w:pPr>
      <w:rPr>
        <w:rFonts w:hint="default" w:ascii="Courier New" w:hAnsi="Courier New"/>
      </w:rPr>
    </w:lvl>
    <w:lvl w:ilvl="5" w:tplc="98880356">
      <w:start w:val="1"/>
      <w:numFmt w:val="bullet"/>
      <w:lvlText w:val=""/>
      <w:lvlJc w:val="left"/>
      <w:pPr>
        <w:ind w:left="4320" w:hanging="360"/>
      </w:pPr>
      <w:rPr>
        <w:rFonts w:hint="default" w:ascii="Wingdings" w:hAnsi="Wingdings"/>
      </w:rPr>
    </w:lvl>
    <w:lvl w:ilvl="6" w:tplc="3434F9F0">
      <w:start w:val="1"/>
      <w:numFmt w:val="bullet"/>
      <w:lvlText w:val=""/>
      <w:lvlJc w:val="left"/>
      <w:pPr>
        <w:ind w:left="5040" w:hanging="360"/>
      </w:pPr>
      <w:rPr>
        <w:rFonts w:hint="default" w:ascii="Symbol" w:hAnsi="Symbol"/>
      </w:rPr>
    </w:lvl>
    <w:lvl w:ilvl="7" w:tplc="F8961E5C">
      <w:start w:val="1"/>
      <w:numFmt w:val="bullet"/>
      <w:lvlText w:val="o"/>
      <w:lvlJc w:val="left"/>
      <w:pPr>
        <w:ind w:left="5760" w:hanging="360"/>
      </w:pPr>
      <w:rPr>
        <w:rFonts w:hint="default" w:ascii="Courier New" w:hAnsi="Courier New"/>
      </w:rPr>
    </w:lvl>
    <w:lvl w:ilvl="8" w:tplc="FF90E460">
      <w:start w:val="1"/>
      <w:numFmt w:val="bullet"/>
      <w:lvlText w:val=""/>
      <w:lvlJc w:val="left"/>
      <w:pPr>
        <w:ind w:left="6480" w:hanging="360"/>
      </w:pPr>
      <w:rPr>
        <w:rFonts w:hint="default" w:ascii="Wingdings" w:hAnsi="Wingdings"/>
      </w:rPr>
    </w:lvl>
  </w:abstractNum>
  <w:num w:numId="1" w16cid:durableId="1510212871">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DEE7B40"/>
    <w:rsid w:val="0003263C"/>
    <w:rsid w:val="00680CD1"/>
    <w:rsid w:val="00932BBF"/>
    <w:rsid w:val="011D6ED9"/>
    <w:rsid w:val="013C3324"/>
    <w:rsid w:val="030DB52E"/>
    <w:rsid w:val="04DCA4C4"/>
    <w:rsid w:val="05D2C866"/>
    <w:rsid w:val="07CBC5D3"/>
    <w:rsid w:val="08455898"/>
    <w:rsid w:val="094B03CD"/>
    <w:rsid w:val="0B16884A"/>
    <w:rsid w:val="0C34D380"/>
    <w:rsid w:val="0C7DF35E"/>
    <w:rsid w:val="0CFC0E36"/>
    <w:rsid w:val="0E49F729"/>
    <w:rsid w:val="0EA58813"/>
    <w:rsid w:val="0FC8C98F"/>
    <w:rsid w:val="0FEEEBC2"/>
    <w:rsid w:val="10D96E98"/>
    <w:rsid w:val="114436C6"/>
    <w:rsid w:val="1187515F"/>
    <w:rsid w:val="11CD28A6"/>
    <w:rsid w:val="1387CB96"/>
    <w:rsid w:val="14659869"/>
    <w:rsid w:val="148F6CD3"/>
    <w:rsid w:val="154D4389"/>
    <w:rsid w:val="1577099B"/>
    <w:rsid w:val="1765D392"/>
    <w:rsid w:val="17C10F8A"/>
    <w:rsid w:val="1823870D"/>
    <w:rsid w:val="1A54AA55"/>
    <w:rsid w:val="1C4D257B"/>
    <w:rsid w:val="1D7587C9"/>
    <w:rsid w:val="1D9409F8"/>
    <w:rsid w:val="1FFB3866"/>
    <w:rsid w:val="200AF290"/>
    <w:rsid w:val="201B496F"/>
    <w:rsid w:val="204B1159"/>
    <w:rsid w:val="2059F9A7"/>
    <w:rsid w:val="21EA54AF"/>
    <w:rsid w:val="2319836E"/>
    <w:rsid w:val="232E2EE6"/>
    <w:rsid w:val="23662DDE"/>
    <w:rsid w:val="254D5E0E"/>
    <w:rsid w:val="25A5CE6B"/>
    <w:rsid w:val="25DAD97E"/>
    <w:rsid w:val="25EC4798"/>
    <w:rsid w:val="26B40944"/>
    <w:rsid w:val="2748E981"/>
    <w:rsid w:val="27BC73AB"/>
    <w:rsid w:val="27F3B1A4"/>
    <w:rsid w:val="295C17FE"/>
    <w:rsid w:val="29A56D82"/>
    <w:rsid w:val="2A70CC73"/>
    <w:rsid w:val="2D241A0C"/>
    <w:rsid w:val="2D39D9EB"/>
    <w:rsid w:val="2E65EA26"/>
    <w:rsid w:val="2E7225D0"/>
    <w:rsid w:val="2F84E3D4"/>
    <w:rsid w:val="30043BF6"/>
    <w:rsid w:val="32DC0A39"/>
    <w:rsid w:val="32E5ED47"/>
    <w:rsid w:val="33629787"/>
    <w:rsid w:val="33FE1E38"/>
    <w:rsid w:val="34FC03E0"/>
    <w:rsid w:val="3526424D"/>
    <w:rsid w:val="38B3FD21"/>
    <w:rsid w:val="39FAF9F5"/>
    <w:rsid w:val="3A85DAAB"/>
    <w:rsid w:val="3B850315"/>
    <w:rsid w:val="3BAA5719"/>
    <w:rsid w:val="3DAAD9EC"/>
    <w:rsid w:val="3DB87B00"/>
    <w:rsid w:val="3F0E6E04"/>
    <w:rsid w:val="3F10D3B3"/>
    <w:rsid w:val="3F605220"/>
    <w:rsid w:val="40738A05"/>
    <w:rsid w:val="421C7ACC"/>
    <w:rsid w:val="426E6FCA"/>
    <w:rsid w:val="42F46604"/>
    <w:rsid w:val="43E50782"/>
    <w:rsid w:val="44378634"/>
    <w:rsid w:val="450F176B"/>
    <w:rsid w:val="45C7ECC0"/>
    <w:rsid w:val="45F022BF"/>
    <w:rsid w:val="4643C7E8"/>
    <w:rsid w:val="46E0E6F0"/>
    <w:rsid w:val="4737823C"/>
    <w:rsid w:val="47F5FD90"/>
    <w:rsid w:val="47F7B28F"/>
    <w:rsid w:val="49349592"/>
    <w:rsid w:val="4954C561"/>
    <w:rsid w:val="49FA64EE"/>
    <w:rsid w:val="4B295CC3"/>
    <w:rsid w:val="4B4C6549"/>
    <w:rsid w:val="4BA93E1A"/>
    <w:rsid w:val="4CB84A39"/>
    <w:rsid w:val="4E10C959"/>
    <w:rsid w:val="4E54097F"/>
    <w:rsid w:val="4EAB39D2"/>
    <w:rsid w:val="4F610099"/>
    <w:rsid w:val="4FCF7F03"/>
    <w:rsid w:val="506DE8F5"/>
    <w:rsid w:val="50EF82F7"/>
    <w:rsid w:val="52557DBB"/>
    <w:rsid w:val="539F8BE4"/>
    <w:rsid w:val="545C7824"/>
    <w:rsid w:val="54ABD9F4"/>
    <w:rsid w:val="559C7F25"/>
    <w:rsid w:val="55D55899"/>
    <w:rsid w:val="56BDA30F"/>
    <w:rsid w:val="56DE5A3D"/>
    <w:rsid w:val="571EDE91"/>
    <w:rsid w:val="57293A24"/>
    <w:rsid w:val="57480C2C"/>
    <w:rsid w:val="578F0262"/>
    <w:rsid w:val="588AC4C4"/>
    <w:rsid w:val="59ED50FE"/>
    <w:rsid w:val="5B04350F"/>
    <w:rsid w:val="5D178687"/>
    <w:rsid w:val="5DEE7B40"/>
    <w:rsid w:val="5E42B412"/>
    <w:rsid w:val="5E4AF114"/>
    <w:rsid w:val="61950767"/>
    <w:rsid w:val="619A219D"/>
    <w:rsid w:val="61A781E2"/>
    <w:rsid w:val="61AE31F5"/>
    <w:rsid w:val="62474435"/>
    <w:rsid w:val="62B5421B"/>
    <w:rsid w:val="62BBF7A5"/>
    <w:rsid w:val="6333E328"/>
    <w:rsid w:val="636CE494"/>
    <w:rsid w:val="6464A633"/>
    <w:rsid w:val="64C88D9F"/>
    <w:rsid w:val="64F044DD"/>
    <w:rsid w:val="66F1B7D4"/>
    <w:rsid w:val="673457C7"/>
    <w:rsid w:val="68494A21"/>
    <w:rsid w:val="69D45A53"/>
    <w:rsid w:val="6ABF8183"/>
    <w:rsid w:val="6AD77EB9"/>
    <w:rsid w:val="6B1AA513"/>
    <w:rsid w:val="6B80DE15"/>
    <w:rsid w:val="6BDE0B32"/>
    <w:rsid w:val="6BFE5884"/>
    <w:rsid w:val="6C2020B9"/>
    <w:rsid w:val="6C66B155"/>
    <w:rsid w:val="6E3409A0"/>
    <w:rsid w:val="6E781C32"/>
    <w:rsid w:val="6F42CBCE"/>
    <w:rsid w:val="70269446"/>
    <w:rsid w:val="70B56C37"/>
    <w:rsid w:val="729E0D55"/>
    <w:rsid w:val="73DB39C0"/>
    <w:rsid w:val="747E04F2"/>
    <w:rsid w:val="75FC2D97"/>
    <w:rsid w:val="7631244A"/>
    <w:rsid w:val="767F3B2C"/>
    <w:rsid w:val="7703C903"/>
    <w:rsid w:val="775A7C35"/>
    <w:rsid w:val="77E0CE96"/>
    <w:rsid w:val="77F66D4F"/>
    <w:rsid w:val="782CE63F"/>
    <w:rsid w:val="791FF803"/>
    <w:rsid w:val="7A5C26D4"/>
    <w:rsid w:val="7AC1BE34"/>
    <w:rsid w:val="7BF6D368"/>
    <w:rsid w:val="7C40AB02"/>
    <w:rsid w:val="7C85CCB3"/>
    <w:rsid w:val="7DA888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F5D9"/>
  <w15:chartTrackingRefBased/>
  <w15:docId w15:val="{79BB627B-326E-4974-8BC0-3A9CBC11C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52557DBB"/>
    <w:pPr>
      <w:ind w:left="720"/>
      <w:contextualSpacing/>
    </w:pPr>
  </w:style>
  <w:style w:type="paragraph" w:styleId="NormalWeb">
    <w:name w:val="Normal (Web)"/>
    <w:basedOn w:val="Normal"/>
    <w:uiPriority w:val="99"/>
    <w:unhideWhenUsed/>
    <w:rsid w:val="00932BBF"/>
    <w:pPr>
      <w:spacing w:before="100" w:beforeAutospacing="1" w:after="100" w:afterAutospacing="1" w:line="240" w:lineRule="auto"/>
    </w:pPr>
    <w:rPr>
      <w:rFonts w:ascii="Times New Roman" w:hAnsi="Times New Roman" w:eastAsia="Times New Roman" w:cs="Times New Roman"/>
      <w:lang w:eastAsia="en-US"/>
    </w:rPr>
  </w:style>
  <w:style w:type="character" w:styleId="relative" w:customStyle="1">
    <w:name w:val="relative"/>
    <w:basedOn w:val="DefaultParagraphFont"/>
    <w:rsid w:val="00932BBF"/>
  </w:style>
  <w:style w:type="paragraph" w:styleId="not-prose" w:customStyle="1">
    <w:name w:val="not-prose"/>
    <w:basedOn w:val="Normal"/>
    <w:rsid w:val="00932BBF"/>
    <w:pPr>
      <w:spacing w:before="100" w:beforeAutospacing="1" w:after="100" w:afterAutospacing="1" w:line="240" w:lineRule="auto"/>
    </w:pPr>
    <w:rPr>
      <w:rFonts w:ascii="Times New Roman" w:hAnsi="Times New Roman" w:eastAsia="Times New Roman" w:cs="Times New Roman"/>
      <w:lang w:eastAsia="en-US"/>
    </w:rPr>
  </w:style>
</w:styles>
</file>

<file path=word/tasks.xml><?xml version="1.0" encoding="utf-8"?>
<t:Tasks xmlns:t="http://schemas.microsoft.com/office/tasks/2019/documenttasks" xmlns:oel="http://schemas.microsoft.com/office/2019/extlst">
  <t:Task id="{A08258B1-26C0-473D-BBC2-49804279DC79}">
    <t:Anchor>
      <t:Comment id="522007697"/>
    </t:Anchor>
    <t:History>
      <t:Event id="{555EBA2D-42E6-40DE-8826-E40CCB56BD4B}" time="2025-12-03T23:32:14.898Z">
        <t:Attribution userId="S::cmgeremia@health.ucsd.edu::c86de92a-8aef-4622-b3bb-576d5cfbb3c6" userProvider="AD" userName="Geremia, Carrie"/>
        <t:Anchor>
          <t:Comment id="522007697"/>
        </t:Anchor>
        <t:Create/>
      </t:Event>
      <t:Event id="{D1EA5B69-4114-4FCA-AF66-E7B9A72D9E3C}" time="2025-12-03T23:32:14.898Z">
        <t:Attribution userId="S::cmgeremia@health.ucsd.edu::c86de92a-8aef-4622-b3bb-576d5cfbb3c6" userProvider="AD" userName="Geremia, Carrie"/>
        <t:Anchor>
          <t:Comment id="522007697"/>
        </t:Anchor>
        <t:Assign userId="S::jlmontoy@health.ucsd.edu::37fcc423-0fd1-4722-a3be-713f4626f8bd" userProvider="AD" userName="Montoya, Jessica"/>
      </t:Event>
      <t:Event id="{F639C28E-8D12-4A9E-A9D7-93C6A79A774B}" time="2025-12-03T23:32:14.898Z">
        <t:Attribution userId="S::cmgeremia@health.ucsd.edu::c86de92a-8aef-4622-b3bb-576d5cfbb3c6" userProvider="AD" userName="Geremia, Carrie"/>
        <t:Anchor>
          <t:Comment id="522007697"/>
        </t:Anchor>
        <t:SetTitle title="@Montoya, Jessica"/>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448138">
      <w:bodyDiv w:val="1"/>
      <w:marLeft w:val="0"/>
      <w:marRight w:val="0"/>
      <w:marTop w:val="0"/>
      <w:marBottom w:val="0"/>
      <w:divBdr>
        <w:top w:val="none" w:sz="0" w:space="0" w:color="auto"/>
        <w:left w:val="none" w:sz="0" w:space="0" w:color="auto"/>
        <w:bottom w:val="none" w:sz="0" w:space="0" w:color="auto"/>
        <w:right w:val="none" w:sz="0" w:space="0" w:color="auto"/>
      </w:divBdr>
    </w:div>
    <w:div w:id="920990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 Type="http://schemas.microsoft.com/office/2011/relationships/people" Target="people.xml" Id="R5e9bf30383534b3e" /><Relationship Type="http://schemas.microsoft.com/office/2011/relationships/commentsExtended" Target="commentsExtended.xml" Id="Rab85190d40e64944" /><Relationship Type="http://schemas.microsoft.com/office/2016/09/relationships/commentsIds" Target="commentsIds.xml" Id="Rcf7f3259a9084669" /><Relationship Type="http://schemas.microsoft.com/office/2019/05/relationships/documenttasks" Target="tasks.xml" Id="Rfd142cdf9d714821"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a198a524b0be707857632424868b3ea2">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1550e52471d9d8f800af8257a659f389"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AC0BCEEC-BA72-4A4D-9E0E-DEAA9E022B9B}"/>
</file>

<file path=customXml/itemProps2.xml><?xml version="1.0" encoding="utf-8"?>
<ds:datastoreItem xmlns:ds="http://schemas.openxmlformats.org/officeDocument/2006/customXml" ds:itemID="{D925F3CA-B86D-436A-B8FE-81AC6EB330AD}"/>
</file>

<file path=customXml/itemProps3.xml><?xml version="1.0" encoding="utf-8"?>
<ds:datastoreItem xmlns:ds="http://schemas.openxmlformats.org/officeDocument/2006/customXml" ds:itemID="{12FBCA0E-7417-46DB-AF92-3825AB59DBD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Lee, Jasmine</dc:creator>
  <keywords/>
  <dc:description/>
  <lastModifiedBy>Geremia, Carrie</lastModifiedBy>
  <revision>6</revision>
  <dcterms:created xsi:type="dcterms:W3CDTF">2025-12-03T23:31:00.0000000Z</dcterms:created>
  <dcterms:modified xsi:type="dcterms:W3CDTF">2025-12-09T16:11:35.8505688Z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