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Override PartName="/word/tasks.xml" ContentType="application/vnd.ms-office.documenttask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967B1B" w:rsidP="5E4AF114" w:rsidRDefault="61AE31F5" w14:paraId="3C712C18" w14:textId="27CCD9B4">
      <w:pPr>
        <w:spacing w:after="240" w:line="240" w:lineRule="auto"/>
        <w:rPr>
          <w:rFonts w:ascii="Times New Roman" w:hAnsi="Times New Roman" w:eastAsia="Times New Roman" w:cs="Times New Roman"/>
          <w:b/>
          <w:bCs/>
          <w:sz w:val="22"/>
          <w:szCs w:val="22"/>
        </w:rPr>
      </w:pPr>
      <w:r w:rsidRPr="5E4AF114">
        <w:rPr>
          <w:rFonts w:ascii="Times New Roman" w:hAnsi="Times New Roman" w:eastAsia="Times New Roman" w:cs="Times New Roman"/>
          <w:b/>
          <w:bCs/>
          <w:sz w:val="22"/>
          <w:szCs w:val="22"/>
        </w:rPr>
        <w:t>Case Example: CFIR</w:t>
      </w:r>
    </w:p>
    <w:p w:rsidR="00967B1B" w:rsidP="5E4AF114" w:rsidRDefault="61AE31F5" w14:paraId="73F48047" w14:textId="1DDF4F99">
      <w:pPr>
        <w:spacing w:after="240" w:line="240" w:lineRule="auto"/>
        <w:rPr>
          <w:rFonts w:ascii="Times New Roman" w:hAnsi="Times New Roman" w:eastAsia="Times New Roman" w:cs="Times New Roman"/>
          <w:sz w:val="22"/>
          <w:szCs w:val="22"/>
        </w:rPr>
      </w:pPr>
      <w:r w:rsidRPr="5E4AF114">
        <w:rPr>
          <w:rFonts w:ascii="Times New Roman" w:hAnsi="Times New Roman" w:eastAsia="Times New Roman" w:cs="Times New Roman"/>
          <w:b/>
          <w:bCs/>
          <w:sz w:val="22"/>
          <w:szCs w:val="22"/>
        </w:rPr>
        <w:t>Full citation</w:t>
      </w:r>
      <w:r w:rsidRPr="5E4AF114">
        <w:rPr>
          <w:rFonts w:ascii="Times New Roman" w:hAnsi="Times New Roman" w:eastAsia="Times New Roman" w:cs="Times New Roman"/>
          <w:sz w:val="22"/>
          <w:szCs w:val="22"/>
        </w:rPr>
        <w:t xml:space="preserve">: </w:t>
      </w:r>
      <w:proofErr w:type="spellStart"/>
      <w:r w:rsidRPr="5E4AF114">
        <w:rPr>
          <w:rFonts w:ascii="Times New Roman" w:hAnsi="Times New Roman" w:eastAsia="Times New Roman" w:cs="Times New Roman"/>
          <w:sz w:val="22"/>
          <w:szCs w:val="22"/>
        </w:rPr>
        <w:t>Moiana</w:t>
      </w:r>
      <w:proofErr w:type="spellEnd"/>
      <w:r w:rsidRPr="5E4AF114">
        <w:rPr>
          <w:rFonts w:ascii="Times New Roman" w:hAnsi="Times New Roman" w:eastAsia="Times New Roman" w:cs="Times New Roman"/>
          <w:sz w:val="22"/>
          <w:szCs w:val="22"/>
        </w:rPr>
        <w:t xml:space="preserve"> </w:t>
      </w:r>
      <w:proofErr w:type="spellStart"/>
      <w:r w:rsidRPr="5E4AF114">
        <w:rPr>
          <w:rFonts w:ascii="Times New Roman" w:hAnsi="Times New Roman" w:eastAsia="Times New Roman" w:cs="Times New Roman"/>
          <w:sz w:val="22"/>
          <w:szCs w:val="22"/>
        </w:rPr>
        <w:t>Uetela</w:t>
      </w:r>
      <w:proofErr w:type="spellEnd"/>
      <w:r w:rsidRPr="5E4AF114">
        <w:rPr>
          <w:rFonts w:ascii="Times New Roman" w:hAnsi="Times New Roman" w:eastAsia="Times New Roman" w:cs="Times New Roman"/>
          <w:sz w:val="22"/>
          <w:szCs w:val="22"/>
        </w:rPr>
        <w:t xml:space="preserve">, D., Gimbel, S., </w:t>
      </w:r>
      <w:proofErr w:type="spellStart"/>
      <w:r w:rsidRPr="5E4AF114">
        <w:rPr>
          <w:rFonts w:ascii="Times New Roman" w:hAnsi="Times New Roman" w:eastAsia="Times New Roman" w:cs="Times New Roman"/>
          <w:sz w:val="22"/>
          <w:szCs w:val="22"/>
        </w:rPr>
        <w:t>Inguane</w:t>
      </w:r>
      <w:proofErr w:type="spellEnd"/>
      <w:r w:rsidRPr="5E4AF114">
        <w:rPr>
          <w:rFonts w:ascii="Times New Roman" w:hAnsi="Times New Roman" w:eastAsia="Times New Roman" w:cs="Times New Roman"/>
          <w:sz w:val="22"/>
          <w:szCs w:val="22"/>
        </w:rPr>
        <w:t xml:space="preserve">, C., </w:t>
      </w:r>
      <w:proofErr w:type="spellStart"/>
      <w:r w:rsidRPr="5E4AF114">
        <w:rPr>
          <w:rFonts w:ascii="Times New Roman" w:hAnsi="Times New Roman" w:eastAsia="Times New Roman" w:cs="Times New Roman"/>
          <w:sz w:val="22"/>
          <w:szCs w:val="22"/>
        </w:rPr>
        <w:t>Uetela</w:t>
      </w:r>
      <w:proofErr w:type="spellEnd"/>
      <w:r w:rsidRPr="5E4AF114">
        <w:rPr>
          <w:rFonts w:ascii="Times New Roman" w:hAnsi="Times New Roman" w:eastAsia="Times New Roman" w:cs="Times New Roman"/>
          <w:sz w:val="22"/>
          <w:szCs w:val="22"/>
        </w:rPr>
        <w:t xml:space="preserve">, O., Dinis, A., Couto, A., Gaspar, I., Gudo, E.S., </w:t>
      </w:r>
      <w:proofErr w:type="spellStart"/>
      <w:r w:rsidRPr="5E4AF114">
        <w:rPr>
          <w:rFonts w:ascii="Times New Roman" w:hAnsi="Times New Roman" w:eastAsia="Times New Roman" w:cs="Times New Roman"/>
          <w:sz w:val="22"/>
          <w:szCs w:val="22"/>
        </w:rPr>
        <w:t>Chicumbe</w:t>
      </w:r>
      <w:proofErr w:type="spellEnd"/>
      <w:r w:rsidRPr="5E4AF114">
        <w:rPr>
          <w:rFonts w:ascii="Times New Roman" w:hAnsi="Times New Roman" w:eastAsia="Times New Roman" w:cs="Times New Roman"/>
          <w:sz w:val="22"/>
          <w:szCs w:val="22"/>
        </w:rPr>
        <w:t xml:space="preserve">, S., </w:t>
      </w:r>
      <w:proofErr w:type="spellStart"/>
      <w:r w:rsidRPr="5E4AF114">
        <w:rPr>
          <w:rFonts w:ascii="Times New Roman" w:hAnsi="Times New Roman" w:eastAsia="Times New Roman" w:cs="Times New Roman"/>
          <w:sz w:val="22"/>
          <w:szCs w:val="22"/>
        </w:rPr>
        <w:t>Gaveta</w:t>
      </w:r>
      <w:proofErr w:type="spellEnd"/>
      <w:r w:rsidRPr="5E4AF114">
        <w:rPr>
          <w:rFonts w:ascii="Times New Roman" w:hAnsi="Times New Roman" w:eastAsia="Times New Roman" w:cs="Times New Roman"/>
          <w:sz w:val="22"/>
          <w:szCs w:val="22"/>
        </w:rPr>
        <w:t xml:space="preserve">, S., Augusto, O. and Sherr, K. (2023), Managers’ and providers’ perspectives on barriers and facilitators for the implementation of differentiated service delivery models for HIV treatment in Mozambique: a qualitative study. J Int AIDS Soc., </w:t>
      </w:r>
      <w:proofErr w:type="gramStart"/>
      <w:r w:rsidRPr="5E4AF114">
        <w:rPr>
          <w:rFonts w:ascii="Times New Roman" w:hAnsi="Times New Roman" w:eastAsia="Times New Roman" w:cs="Times New Roman"/>
          <w:sz w:val="22"/>
          <w:szCs w:val="22"/>
        </w:rPr>
        <w:t>26:e</w:t>
      </w:r>
      <w:proofErr w:type="gramEnd"/>
      <w:r w:rsidRPr="5E4AF114">
        <w:rPr>
          <w:rFonts w:ascii="Times New Roman" w:hAnsi="Times New Roman" w:eastAsia="Times New Roman" w:cs="Times New Roman"/>
          <w:sz w:val="22"/>
          <w:szCs w:val="22"/>
        </w:rPr>
        <w:t>26076. https://doi.org/10.1002/jia2.26076</w:t>
      </w:r>
    </w:p>
    <w:p w:rsidRPr="008242C2" w:rsidR="008242C2" w:rsidP="008242C2" w:rsidRDefault="61AE31F5" w14:paraId="321EBE3F" w14:textId="4BFEBE6A">
      <w:pPr>
        <w:pStyle w:val="NormalWeb"/>
        <w:rPr>
          <w:rStyle w:val="relative"/>
          <w:sz w:val="22"/>
          <w:szCs w:val="22"/>
        </w:rPr>
      </w:pPr>
      <w:r w:rsidRPr="2BB682A9" w:rsidR="61AE31F5">
        <w:rPr>
          <w:b w:val="1"/>
          <w:bCs w:val="1"/>
          <w:sz w:val="22"/>
          <w:szCs w:val="22"/>
        </w:rPr>
        <w:t>Overview</w:t>
      </w:r>
      <w:r w:rsidRPr="2BB682A9" w:rsidR="61AE31F5">
        <w:rPr>
          <w:sz w:val="22"/>
          <w:szCs w:val="22"/>
        </w:rPr>
        <w:t xml:space="preserve">: </w:t>
      </w:r>
      <w:r w:rsidRPr="2BB682A9" w:rsidR="008242C2">
        <w:rPr>
          <w:sz w:val="22"/>
          <w:szCs w:val="22"/>
        </w:rPr>
        <w:t>This article examines managers’ and frontline providers’ perspectives on barriers and facilitators affecting the implementation of</w:t>
      </w:r>
      <w:r w:rsidRPr="2BB682A9" w:rsidR="008242C2">
        <w:rPr>
          <w:b w:val="1"/>
          <w:bCs w:val="1"/>
          <w:sz w:val="22"/>
          <w:szCs w:val="22"/>
        </w:rPr>
        <w:t xml:space="preserve"> </w:t>
      </w:r>
      <w:r w:rsidRPr="2BB682A9" w:rsidR="008242C2">
        <w:rPr>
          <w:rStyle w:val="Strong"/>
          <w:b w:val="0"/>
          <w:bCs w:val="0"/>
          <w:sz w:val="22"/>
          <w:szCs w:val="22"/>
        </w:rPr>
        <w:t>differentiated service delivery (DSD) models for HIV treatment in Mozambique</w:t>
      </w:r>
      <w:r w:rsidRPr="2BB682A9" w:rsidR="008242C2">
        <w:rPr>
          <w:sz w:val="22"/>
          <w:szCs w:val="22"/>
        </w:rPr>
        <w:t>, using the</w:t>
      </w:r>
      <w:r w:rsidRPr="2BB682A9" w:rsidR="008242C2">
        <w:rPr>
          <w:b w:val="1"/>
          <w:bCs w:val="1"/>
          <w:sz w:val="22"/>
          <w:szCs w:val="22"/>
        </w:rPr>
        <w:t xml:space="preserve"> </w:t>
      </w:r>
      <w:r w:rsidRPr="2BB682A9" w:rsidR="008242C2">
        <w:rPr>
          <w:rStyle w:val="Strong"/>
          <w:b w:val="0"/>
          <w:bCs w:val="0"/>
          <w:sz w:val="22"/>
          <w:szCs w:val="22"/>
        </w:rPr>
        <w:t>Consolidated Framework for Implementation Research (CFIR)</w:t>
      </w:r>
      <w:r w:rsidRPr="2BB682A9" w:rsidR="008242C2">
        <w:rPr>
          <w:sz w:val="22"/>
          <w:szCs w:val="22"/>
        </w:rPr>
        <w:t xml:space="preserve"> to organize data collection and thematic analysis. After Mozambique’s Ministry of Health rolled out eight national DSD models in 2018 (including fast-track refills, three-month ART dispensing, community ART groups, adherence clubs, family-based care, and three one-stop-shop models), the authors conducted 20 in-depth interviews across national, provincial, district, and facility levels to understand why some models were implemented more successfully than others. </w:t>
      </w:r>
      <w:r>
        <w:br/>
      </w:r>
    </w:p>
    <w:p w:rsidRPr="008242C2" w:rsidR="00967B1B" w:rsidP="008242C2" w:rsidRDefault="008242C2" w14:paraId="572186F2" w14:textId="0E7B9CF5">
      <w:pPr>
        <w:pStyle w:val="NormalWeb"/>
        <w:rPr>
          <w:sz w:val="22"/>
          <w:szCs w:val="22"/>
        </w:rPr>
      </w:pPr>
      <w:r w:rsidRPr="366B4CFC" w:rsidR="008242C2">
        <w:rPr>
          <w:sz w:val="22"/>
          <w:szCs w:val="22"/>
        </w:rPr>
        <w:t xml:space="preserve">Key findings indicate that several CFIR constructs consistently shaped implementation across models. </w:t>
      </w:r>
      <w:r w:rsidRPr="366B4CFC" w:rsidR="008242C2">
        <w:rPr>
          <w:rStyle w:val="Strong"/>
          <w:b w:val="0"/>
          <w:bCs w:val="0"/>
          <w:sz w:val="22"/>
          <w:szCs w:val="22"/>
        </w:rPr>
        <w:t>Relative advantage, reduced complexity, responsiveness to patient needs/resources, and active monitoring/evaluation</w:t>
      </w:r>
      <w:r w:rsidRPr="366B4CFC" w:rsidR="008242C2">
        <w:rPr>
          <w:b w:val="1"/>
          <w:bCs w:val="1"/>
          <w:sz w:val="22"/>
          <w:szCs w:val="22"/>
        </w:rPr>
        <w:t xml:space="preserve"> </w:t>
      </w:r>
      <w:r w:rsidRPr="366B4CFC" w:rsidR="008242C2">
        <w:rPr>
          <w:sz w:val="22"/>
          <w:szCs w:val="22"/>
        </w:rPr>
        <w:t xml:space="preserve">were perceived as major facilitators, while </w:t>
      </w:r>
      <w:r w:rsidRPr="366B4CFC" w:rsidR="008242C2">
        <w:rPr>
          <w:rStyle w:val="Strong"/>
          <w:b w:val="0"/>
          <w:bCs w:val="0"/>
          <w:sz w:val="22"/>
          <w:szCs w:val="22"/>
        </w:rPr>
        <w:t>limited resources and insufficient access to training/knowledge</w:t>
      </w:r>
      <w:r w:rsidRPr="366B4CFC" w:rsidR="008242C2">
        <w:rPr>
          <w:b w:val="1"/>
          <w:bCs w:val="1"/>
          <w:sz w:val="22"/>
          <w:szCs w:val="22"/>
        </w:rPr>
        <w:t xml:space="preserve"> </w:t>
      </w:r>
      <w:r w:rsidRPr="366B4CFC" w:rsidR="008242C2">
        <w:rPr>
          <w:sz w:val="22"/>
          <w:szCs w:val="22"/>
        </w:rPr>
        <w:t>emerged as dominant barriers, especially at the facility level. Individual models</w:t>
      </w:r>
      <w:r w:rsidRPr="366B4CFC" w:rsidR="008242C2">
        <w:rPr>
          <w:sz w:val="22"/>
          <w:szCs w:val="22"/>
        </w:rPr>
        <w:t xml:space="preserve"> such as</w:t>
      </w:r>
      <w:r w:rsidRPr="366B4CFC" w:rsidR="008242C2">
        <w:rPr>
          <w:sz w:val="22"/>
          <w:szCs w:val="22"/>
        </w:rPr>
        <w:t xml:space="preserve"> </w:t>
      </w:r>
      <w:r w:rsidRPr="366B4CFC" w:rsidR="008242C2">
        <w:rPr>
          <w:rStyle w:val="Strong"/>
          <w:b w:val="0"/>
          <w:bCs w:val="0"/>
          <w:sz w:val="22"/>
          <w:szCs w:val="22"/>
        </w:rPr>
        <w:t>fast-track and three-month dispensing</w:t>
      </w:r>
      <w:r w:rsidRPr="366B4CFC" w:rsidR="008242C2">
        <w:rPr>
          <w:rStyle w:val="Strong"/>
          <w:b w:val="0"/>
          <w:bCs w:val="0"/>
          <w:sz w:val="22"/>
          <w:szCs w:val="22"/>
        </w:rPr>
        <w:t xml:space="preserve"> </w:t>
      </w:r>
      <w:r w:rsidRPr="366B4CFC" w:rsidR="008242C2">
        <w:rPr>
          <w:rStyle w:val="Strong"/>
          <w:b w:val="0"/>
          <w:bCs w:val="0"/>
          <w:sz w:val="22"/>
          <w:szCs w:val="22"/>
        </w:rPr>
        <w:t>were viewed as easiest to implement and most effective at reducing workload</w:t>
      </w:r>
      <w:r w:rsidRPr="366B4CFC" w:rsidR="008242C2">
        <w:rPr>
          <w:b w:val="1"/>
          <w:bCs w:val="1"/>
          <w:sz w:val="22"/>
          <w:szCs w:val="22"/>
        </w:rPr>
        <w:t>,</w:t>
      </w:r>
      <w:r w:rsidRPr="366B4CFC" w:rsidR="008242C2">
        <w:rPr>
          <w:sz w:val="22"/>
          <w:szCs w:val="22"/>
        </w:rPr>
        <w:t xml:space="preserve"> leading to their widespread uptake. In contrast, group-based models (community ART groups and adherence clubs) were seen as harder to sustain in urban areas due to stigma and disclosure concerns, and they were more vulnerable to staffing shortages. COVID-19 functioned as a major contextual influence: it accelerated adoption of models that minimized clinic visits and temporarily disrupted group models. The authors conclude that DSD models are broadly advantageous for both clients and the health system, but successful scale-up depends on stable resources, ongoing provider training, and leveraging lessons from COVID-era adaptations to optimize future implementation</w:t>
      </w:r>
      <w:r w:rsidRPr="366B4CFC" w:rsidR="008242C2">
        <w:rPr>
          <w:sz w:val="22"/>
          <w:szCs w:val="22"/>
        </w:rPr>
        <w:t>.</w:t>
      </w:r>
    </w:p>
    <w:p w:rsidR="00967B1B" w:rsidP="366B4CFC" w:rsidRDefault="61AE31F5" w14:paraId="2BA34ED6" w14:textId="0BF86CB4">
      <w:pPr>
        <w:pStyle w:val="Normal"/>
        <w:spacing w:line="240" w:lineRule="auto"/>
        <w:rPr>
          <w:rFonts w:ascii="Times New Roman" w:hAnsi="Times New Roman" w:eastAsia="Times New Roman" w:cs="Times New Roman"/>
          <w:sz w:val="22"/>
          <w:szCs w:val="22"/>
        </w:rPr>
      </w:pPr>
      <w:r>
        <w:br/>
      </w:r>
      <w:r w:rsidRPr="2BB682A9" w:rsidR="61AE31F5">
        <w:rPr>
          <w:rFonts w:ascii="Times New Roman" w:hAnsi="Times New Roman" w:eastAsia="Times New Roman" w:cs="Times New Roman"/>
          <w:b w:val="1"/>
          <w:bCs w:val="1"/>
          <w:sz w:val="22"/>
          <w:szCs w:val="22"/>
        </w:rPr>
        <w:t>Population</w:t>
      </w:r>
      <w:r w:rsidRPr="2BB682A9" w:rsidR="61AE31F5">
        <w:rPr>
          <w:rFonts w:ascii="Times New Roman" w:hAnsi="Times New Roman" w:eastAsia="Times New Roman" w:cs="Times New Roman"/>
          <w:sz w:val="22"/>
          <w:szCs w:val="22"/>
        </w:rPr>
        <w:t>: Managers and providers from the Ministry of Health (MISAU) from all levels of the health system</w:t>
      </w:r>
      <w:r>
        <w:br/>
      </w:r>
      <w:r>
        <w:br/>
      </w:r>
      <w:r w:rsidRPr="2BB682A9" w:rsidR="61AE31F5">
        <w:rPr>
          <w:rFonts w:ascii="Times New Roman" w:hAnsi="Times New Roman" w:eastAsia="Times New Roman" w:cs="Times New Roman"/>
          <w:b w:val="1"/>
          <w:bCs w:val="1"/>
          <w:sz w:val="22"/>
          <w:szCs w:val="22"/>
        </w:rPr>
        <w:t>Topic</w:t>
      </w:r>
      <w:r w:rsidRPr="2BB682A9" w:rsidR="61AE31F5">
        <w:rPr>
          <w:rFonts w:ascii="Times New Roman" w:hAnsi="Times New Roman" w:eastAsia="Times New Roman" w:cs="Times New Roman"/>
          <w:sz w:val="22"/>
          <w:szCs w:val="22"/>
        </w:rPr>
        <w:t xml:space="preserve">: </w:t>
      </w:r>
      <w:r w:rsidRPr="2BB682A9" w:rsidR="61AE31F5">
        <w:rPr>
          <w:rFonts w:ascii="Times New Roman" w:hAnsi="Times New Roman" w:eastAsia="Times New Roman" w:cs="Times New Roman"/>
          <w:sz w:val="22"/>
          <w:szCs w:val="22"/>
        </w:rPr>
        <w:t>Identifying</w:t>
      </w:r>
      <w:r w:rsidRPr="2BB682A9" w:rsidR="61AE31F5">
        <w:rPr>
          <w:rFonts w:ascii="Times New Roman" w:hAnsi="Times New Roman" w:eastAsia="Times New Roman" w:cs="Times New Roman"/>
          <w:sz w:val="22"/>
          <w:szCs w:val="22"/>
        </w:rPr>
        <w:t xml:space="preserve"> barriers and facilitators for the implementation of eight differentiated service delivery (DSD) models for HIV treatment in Mozambique</w:t>
      </w:r>
      <w:r>
        <w:br/>
      </w:r>
      <w:r>
        <w:br/>
      </w:r>
      <w:r w:rsidRPr="2BB682A9" w:rsidR="61AE31F5">
        <w:rPr>
          <w:rFonts w:ascii="Times New Roman" w:hAnsi="Times New Roman" w:eastAsia="Times New Roman" w:cs="Times New Roman"/>
          <w:b w:val="1"/>
          <w:bCs w:val="1"/>
          <w:sz w:val="22"/>
          <w:szCs w:val="22"/>
        </w:rPr>
        <w:t>Setting</w:t>
      </w:r>
      <w:r w:rsidRPr="2BB682A9" w:rsidR="61AE31F5">
        <w:rPr>
          <w:rFonts w:ascii="Times New Roman" w:hAnsi="Times New Roman" w:eastAsia="Times New Roman" w:cs="Times New Roman"/>
          <w:sz w:val="22"/>
          <w:szCs w:val="22"/>
        </w:rPr>
        <w:t xml:space="preserve">: Mozambique in </w:t>
      </w:r>
      <w:r w:rsidRPr="2BB682A9" w:rsidR="61AE31F5">
        <w:rPr>
          <w:rFonts w:ascii="Times New Roman" w:hAnsi="Times New Roman" w:eastAsia="Times New Roman" w:cs="Times New Roman"/>
          <w:sz w:val="22"/>
          <w:szCs w:val="22"/>
        </w:rPr>
        <w:t>Maputa</w:t>
      </w:r>
      <w:r w:rsidRPr="2BB682A9" w:rsidR="61AE31F5">
        <w:rPr>
          <w:rFonts w:ascii="Times New Roman" w:hAnsi="Times New Roman" w:eastAsia="Times New Roman" w:cs="Times New Roman"/>
          <w:sz w:val="22"/>
          <w:szCs w:val="22"/>
        </w:rPr>
        <w:t xml:space="preserve"> City, </w:t>
      </w:r>
      <w:r w:rsidRPr="2BB682A9" w:rsidR="61AE31F5">
        <w:rPr>
          <w:rFonts w:ascii="Times New Roman" w:hAnsi="Times New Roman" w:eastAsia="Times New Roman" w:cs="Times New Roman"/>
          <w:sz w:val="22"/>
          <w:szCs w:val="22"/>
        </w:rPr>
        <w:t>Sofala</w:t>
      </w:r>
      <w:r w:rsidRPr="2BB682A9" w:rsidR="61AE31F5">
        <w:rPr>
          <w:rFonts w:ascii="Times New Roman" w:hAnsi="Times New Roman" w:eastAsia="Times New Roman" w:cs="Times New Roman"/>
          <w:sz w:val="22"/>
          <w:szCs w:val="22"/>
        </w:rPr>
        <w:t xml:space="preserve"> province, and two districts and four health </w:t>
      </w:r>
      <w:r w:rsidRPr="2BB682A9" w:rsidR="008242C2">
        <w:rPr>
          <w:rFonts w:ascii="Times New Roman" w:hAnsi="Times New Roman" w:eastAsia="Times New Roman" w:cs="Times New Roman"/>
          <w:sz w:val="22"/>
          <w:szCs w:val="22"/>
        </w:rPr>
        <w:t>facilities</w:t>
      </w:r>
      <w:r>
        <w:br/>
      </w:r>
      <w:r>
        <w:br/>
      </w:r>
      <w:r w:rsidRPr="2BB682A9" w:rsidR="61AE31F5">
        <w:rPr>
          <w:rFonts w:ascii="Times New Roman" w:hAnsi="Times New Roman" w:eastAsia="Times New Roman" w:cs="Times New Roman"/>
          <w:b w:val="1"/>
          <w:bCs w:val="1"/>
          <w:sz w:val="22"/>
          <w:szCs w:val="22"/>
        </w:rPr>
        <w:t>Type of Study</w:t>
      </w:r>
      <w:r w:rsidRPr="2BB682A9" w:rsidR="61AE31F5">
        <w:rPr>
          <w:rFonts w:ascii="Times New Roman" w:hAnsi="Times New Roman" w:eastAsia="Times New Roman" w:cs="Times New Roman"/>
          <w:sz w:val="22"/>
          <w:szCs w:val="22"/>
        </w:rPr>
        <w:t xml:space="preserve">: Qualitative </w:t>
      </w:r>
      <w:r>
        <w:br/>
      </w:r>
      <w:r>
        <w:br/>
      </w:r>
      <w:r w:rsidRPr="2BB682A9" w:rsidR="61AE31F5">
        <w:rPr>
          <w:rFonts w:ascii="Times New Roman" w:hAnsi="Times New Roman" w:eastAsia="Times New Roman" w:cs="Times New Roman"/>
          <w:b w:val="1"/>
          <w:bCs w:val="1"/>
          <w:sz w:val="22"/>
          <w:szCs w:val="22"/>
        </w:rPr>
        <w:t>Framework(s)</w:t>
      </w:r>
      <w:r w:rsidRPr="2BB682A9" w:rsidR="61AE31F5">
        <w:rPr>
          <w:rFonts w:ascii="Times New Roman" w:hAnsi="Times New Roman" w:eastAsia="Times New Roman" w:cs="Times New Roman"/>
          <w:sz w:val="22"/>
          <w:szCs w:val="22"/>
        </w:rPr>
        <w:t>: CFIR</w:t>
      </w:r>
      <w:r>
        <w:br/>
      </w:r>
      <w:r>
        <w:br/>
      </w:r>
      <w:r w:rsidRPr="2BB682A9" w:rsidR="61AE31F5">
        <w:rPr>
          <w:rFonts w:ascii="Times New Roman" w:hAnsi="Times New Roman" w:eastAsia="Times New Roman" w:cs="Times New Roman"/>
          <w:b w:val="1"/>
          <w:bCs w:val="1"/>
          <w:sz w:val="22"/>
          <w:szCs w:val="22"/>
        </w:rPr>
        <w:t>Implementation stage</w:t>
      </w:r>
      <w:r w:rsidRPr="2BB682A9" w:rsidR="61AE31F5">
        <w:rPr>
          <w:rFonts w:ascii="Times New Roman" w:hAnsi="Times New Roman" w:eastAsia="Times New Roman" w:cs="Times New Roman"/>
          <w:sz w:val="22"/>
          <w:szCs w:val="22"/>
        </w:rPr>
        <w:t>: Ongoing implementation</w:t>
      </w:r>
      <w:r>
        <w:br/>
      </w:r>
      <w:r>
        <w:br/>
      </w:r>
      <w:r w:rsidRPr="2BB682A9" w:rsidR="61AE31F5">
        <w:rPr>
          <w:rFonts w:ascii="Times New Roman" w:hAnsi="Times New Roman" w:eastAsia="Times New Roman" w:cs="Times New Roman"/>
          <w:b w:val="1"/>
          <w:bCs w:val="1"/>
          <w:sz w:val="22"/>
          <w:szCs w:val="22"/>
        </w:rPr>
        <w:t>Community partnership focus</w:t>
      </w:r>
      <w:r w:rsidRPr="2BB682A9" w:rsidR="61AE31F5">
        <w:rPr>
          <w:rFonts w:ascii="Times New Roman" w:hAnsi="Times New Roman" w:eastAsia="Times New Roman" w:cs="Times New Roman"/>
          <w:sz w:val="22"/>
          <w:szCs w:val="22"/>
        </w:rPr>
        <w:t>: Collaboration with implementing partners who support and fund some of the models</w:t>
      </w:r>
      <w:r>
        <w:br/>
      </w:r>
      <w:r>
        <w:br/>
      </w:r>
      <w:r w:rsidRPr="2BB682A9" w:rsidR="61AE31F5">
        <w:rPr>
          <w:rFonts w:ascii="Times New Roman" w:hAnsi="Times New Roman" w:eastAsia="Times New Roman" w:cs="Times New Roman"/>
          <w:b w:val="1"/>
          <w:bCs w:val="1"/>
          <w:sz w:val="22"/>
          <w:szCs w:val="22"/>
        </w:rPr>
        <w:t>HIV pillar</w:t>
      </w:r>
      <w:r w:rsidRPr="2BB682A9" w:rsidR="018C63AD">
        <w:rPr>
          <w:rFonts w:ascii="Times New Roman" w:hAnsi="Times New Roman" w:eastAsia="Times New Roman" w:cs="Times New Roman"/>
          <w:b w:val="1"/>
          <w:bCs w:val="1"/>
          <w:sz w:val="22"/>
          <w:szCs w:val="22"/>
        </w:rPr>
        <w:t>(</w:t>
      </w:r>
      <w:r w:rsidRPr="2BB682A9" w:rsidR="61AE31F5">
        <w:rPr>
          <w:rFonts w:ascii="Times New Roman" w:hAnsi="Times New Roman" w:eastAsia="Times New Roman" w:cs="Times New Roman"/>
          <w:b w:val="1"/>
          <w:bCs w:val="1"/>
          <w:sz w:val="22"/>
          <w:szCs w:val="22"/>
        </w:rPr>
        <w:t>s</w:t>
      </w:r>
      <w:r w:rsidRPr="2BB682A9" w:rsidR="675E71C9">
        <w:rPr>
          <w:rFonts w:ascii="Times New Roman" w:hAnsi="Times New Roman" w:eastAsia="Times New Roman" w:cs="Times New Roman"/>
          <w:b w:val="1"/>
          <w:bCs w:val="1"/>
          <w:sz w:val="22"/>
          <w:szCs w:val="22"/>
        </w:rPr>
        <w:t>)</w:t>
      </w:r>
      <w:r w:rsidRPr="2BB682A9" w:rsidR="61AE31F5">
        <w:rPr>
          <w:rFonts w:ascii="Times New Roman" w:hAnsi="Times New Roman" w:eastAsia="Times New Roman" w:cs="Times New Roman"/>
          <w:sz w:val="22"/>
          <w:szCs w:val="22"/>
        </w:rPr>
        <w:t>:</w:t>
      </w:r>
      <w:r w:rsidRPr="2BB682A9" w:rsidR="008242C2">
        <w:rPr>
          <w:rFonts w:ascii="Times New Roman" w:hAnsi="Times New Roman" w:eastAsia="Times New Roman" w:cs="Times New Roman"/>
          <w:sz w:val="22"/>
          <w:szCs w:val="22"/>
        </w:rPr>
        <w:t xml:space="preserve"> </w:t>
      </w:r>
      <w:r w:rsidRPr="2BB682A9" w:rsidR="61AE31F5">
        <w:rPr>
          <w:rFonts w:ascii="Times New Roman" w:hAnsi="Times New Roman" w:eastAsia="Times New Roman" w:cs="Times New Roman"/>
          <w:sz w:val="22"/>
          <w:szCs w:val="22"/>
        </w:rPr>
        <w:t>Treat</w:t>
      </w:r>
      <w:r w:rsidRPr="2BB682A9" w:rsidR="61AE31F5">
        <w:rPr>
          <w:rFonts w:ascii="Times New Roman" w:hAnsi="Times New Roman" w:eastAsia="Times New Roman" w:cs="Times New Roman"/>
          <w:b w:val="1"/>
          <w:bCs w:val="1"/>
          <w:sz w:val="22"/>
          <w:szCs w:val="22"/>
        </w:rPr>
        <w:t xml:space="preserve"> </w:t>
      </w:r>
      <w:r>
        <w:br/>
      </w:r>
      <w:r>
        <w:br/>
      </w:r>
      <w:r w:rsidRPr="2BB682A9" w:rsidR="61AE31F5">
        <w:rPr>
          <w:rFonts w:ascii="Times New Roman" w:hAnsi="Times New Roman" w:eastAsia="Times New Roman" w:cs="Times New Roman"/>
          <w:b w:val="1"/>
          <w:bCs w:val="1"/>
          <w:sz w:val="22"/>
          <w:szCs w:val="22"/>
        </w:rPr>
        <w:t>Implementation strategies</w:t>
      </w:r>
      <w:r w:rsidRPr="2BB682A9" w:rsidR="61AE31F5">
        <w:rPr>
          <w:rFonts w:ascii="Times New Roman" w:hAnsi="Times New Roman" w:eastAsia="Times New Roman" w:cs="Times New Roman"/>
          <w:sz w:val="22"/>
          <w:szCs w:val="22"/>
        </w:rPr>
        <w:t>: Provider training, planning, continuous monitoring and evaluation, systems adaptation</w:t>
      </w:r>
      <w:r>
        <w:br/>
      </w:r>
      <w:r>
        <w:br/>
      </w:r>
      <w:r w:rsidRPr="2BB682A9" w:rsidR="61AE31F5">
        <w:rPr>
          <w:rFonts w:ascii="Times New Roman" w:hAnsi="Times New Roman" w:eastAsia="Times New Roman" w:cs="Times New Roman"/>
          <w:b w:val="1"/>
          <w:bCs w:val="1"/>
          <w:sz w:val="22"/>
          <w:szCs w:val="22"/>
        </w:rPr>
        <w:t>Where TMF was applied</w:t>
      </w:r>
      <w:r w:rsidRPr="2BB682A9" w:rsidR="61AE31F5">
        <w:rPr>
          <w:rFonts w:ascii="Times New Roman" w:hAnsi="Times New Roman" w:eastAsia="Times New Roman" w:cs="Times New Roman"/>
          <w:sz w:val="22"/>
          <w:szCs w:val="22"/>
        </w:rPr>
        <w:t>: Data collection and thematic analysis</w:t>
      </w:r>
    </w:p>
    <w:p w:rsidR="00967B1B" w:rsidP="2BB682A9" w:rsidRDefault="00967B1B" w14:paraId="2004DD3C" w14:textId="3C250315">
      <w:pPr>
        <w:spacing w:line="240" w:lineRule="auto"/>
        <w:rPr>
          <w:rFonts w:ascii="Times New Roman" w:hAnsi="Times New Roman" w:eastAsia="Times New Roman" w:cs="Times New Roman"/>
          <w:sz w:val="22"/>
          <w:szCs w:val="22"/>
        </w:rPr>
      </w:pPr>
      <w:r w:rsidRPr="2BB682A9" w:rsidR="61AE31F5">
        <w:rPr>
          <w:rFonts w:ascii="Times New Roman" w:hAnsi="Times New Roman" w:eastAsia="Times New Roman" w:cs="Times New Roman"/>
          <w:b w:val="1"/>
          <w:bCs w:val="1"/>
          <w:sz w:val="22"/>
          <w:szCs w:val="22"/>
        </w:rPr>
        <w:t>How TMF is operationalized</w:t>
      </w:r>
      <w:r w:rsidRPr="2BB682A9" w:rsidR="61AE31F5">
        <w:rPr>
          <w:rFonts w:ascii="Times New Roman" w:hAnsi="Times New Roman" w:eastAsia="Times New Roman" w:cs="Times New Roman"/>
          <w:sz w:val="22"/>
          <w:szCs w:val="22"/>
        </w:rPr>
        <w:t xml:space="preserve">: CFIR was operationalized through a thematic analysis using an iterative deductive–inductive approach. The CFIR codes were systematically rated for both valence and strength. This systematic rating was used to characterize determinants across </w:t>
      </w:r>
      <w:r w:rsidRPr="2BB682A9" w:rsidR="61AE31F5">
        <w:rPr>
          <w:rFonts w:ascii="Times New Roman" w:hAnsi="Times New Roman" w:eastAsia="Times New Roman" w:cs="Times New Roman"/>
          <w:sz w:val="22"/>
          <w:szCs w:val="22"/>
        </w:rPr>
        <w:t>the eight</w:t>
      </w:r>
      <w:r w:rsidRPr="2BB682A9" w:rsidR="61AE31F5">
        <w:rPr>
          <w:rFonts w:ascii="Times New Roman" w:hAnsi="Times New Roman" w:eastAsia="Times New Roman" w:cs="Times New Roman"/>
          <w:sz w:val="22"/>
          <w:szCs w:val="22"/>
        </w:rPr>
        <w:t xml:space="preserve"> different DSD models</w:t>
      </w:r>
      <w:r w:rsidRPr="2BB682A9" w:rsidR="49FA64EE">
        <w:rPr>
          <w:rFonts w:ascii="Times New Roman" w:hAnsi="Times New Roman" w:eastAsia="Times New Roman" w:cs="Times New Roman"/>
          <w:sz w:val="22"/>
          <w:szCs w:val="22"/>
        </w:rPr>
        <w:t>.</w:t>
      </w:r>
    </w:p>
    <w:p w:rsidR="00967B1B" w:rsidP="5E4AF114" w:rsidRDefault="61AE31F5" w14:paraId="616A3F03" w14:textId="0A5F5DC6">
      <w:pPr>
        <w:spacing w:line="240" w:lineRule="auto"/>
        <w:rPr>
          <w:rFonts w:ascii="Times New Roman" w:hAnsi="Times New Roman" w:eastAsia="Times New Roman" w:cs="Times New Roman"/>
          <w:sz w:val="22"/>
          <w:szCs w:val="22"/>
        </w:rPr>
      </w:pPr>
      <w:r w:rsidRPr="2BB682A9" w:rsidR="61AE31F5">
        <w:rPr>
          <w:rFonts w:ascii="Times New Roman" w:hAnsi="Times New Roman" w:eastAsia="Times New Roman" w:cs="Times New Roman"/>
          <w:b w:val="1"/>
          <w:bCs w:val="1"/>
          <w:sz w:val="22"/>
          <w:szCs w:val="22"/>
        </w:rPr>
        <w:t>Contribution to D&amp;I Science</w:t>
      </w:r>
      <w:r w:rsidRPr="2BB682A9" w:rsidR="61AE31F5">
        <w:rPr>
          <w:rFonts w:ascii="Times New Roman" w:hAnsi="Times New Roman" w:eastAsia="Times New Roman" w:cs="Times New Roman"/>
          <w:sz w:val="22"/>
          <w:szCs w:val="22"/>
        </w:rPr>
        <w:t>:</w:t>
      </w:r>
    </w:p>
    <w:p w:rsidRPr="00C30653" w:rsidR="00C30653" w:rsidP="16737A86" w:rsidRDefault="00C30653" w14:paraId="5A3EB7FC" w14:textId="353432DE">
      <w:pPr>
        <w:pStyle w:val="NormalWeb"/>
        <w:rPr>
          <w:sz w:val="22"/>
          <w:szCs w:val="22"/>
        </w:rPr>
      </w:pPr>
      <w:r w:rsidRPr="2BB682A9" w:rsidR="00C30653">
        <w:rPr>
          <w:sz w:val="22"/>
          <w:szCs w:val="22"/>
        </w:rPr>
        <w:t xml:space="preserve">This article contributes to D&amp;I </w:t>
      </w:r>
      <w:r w:rsidRPr="2BB682A9" w:rsidR="00C30653">
        <w:rPr>
          <w:sz w:val="22"/>
          <w:szCs w:val="22"/>
        </w:rPr>
        <w:t>S</w:t>
      </w:r>
      <w:r w:rsidRPr="2BB682A9" w:rsidR="00C30653">
        <w:rPr>
          <w:sz w:val="22"/>
          <w:szCs w:val="22"/>
        </w:rPr>
        <w:t xml:space="preserve">cience by providing a </w:t>
      </w:r>
      <w:r w:rsidRPr="2BB682A9" w:rsidR="00C30653">
        <w:rPr>
          <w:rStyle w:val="Strong"/>
          <w:b w:val="0"/>
          <w:bCs w:val="0"/>
          <w:sz w:val="22"/>
          <w:szCs w:val="22"/>
        </w:rPr>
        <w:t xml:space="preserve">theory-guided explanation of why </w:t>
      </w:r>
      <w:r w:rsidRPr="2BB682A9" w:rsidR="5AADB31F">
        <w:rPr>
          <w:rStyle w:val="Strong"/>
          <w:b w:val="0"/>
          <w:bCs w:val="0"/>
          <w:sz w:val="22"/>
          <w:szCs w:val="22"/>
        </w:rPr>
        <w:t xml:space="preserve">eight </w:t>
      </w:r>
      <w:r w:rsidRPr="2BB682A9" w:rsidR="00C30653">
        <w:rPr>
          <w:rStyle w:val="Strong"/>
          <w:b w:val="0"/>
          <w:bCs w:val="0"/>
          <w:sz w:val="22"/>
          <w:szCs w:val="22"/>
        </w:rPr>
        <w:t>differentiated service delivery (DSD) models for HIV treatment succeed or stall in a real-world, resource-constrained health system.</w:t>
      </w:r>
      <w:r w:rsidRPr="2BB682A9" w:rsidR="00C30653">
        <w:rPr>
          <w:b w:val="1"/>
          <w:bCs w:val="1"/>
          <w:sz w:val="22"/>
          <w:szCs w:val="22"/>
        </w:rPr>
        <w:t xml:space="preserve"> </w:t>
      </w:r>
      <w:r w:rsidRPr="2BB682A9" w:rsidR="00C30653">
        <w:rPr>
          <w:sz w:val="22"/>
          <w:szCs w:val="22"/>
        </w:rPr>
        <w:t>By applying the</w:t>
      </w:r>
      <w:r w:rsidRPr="2BB682A9" w:rsidR="00C30653">
        <w:rPr>
          <w:b w:val="1"/>
          <w:bCs w:val="1"/>
          <w:sz w:val="22"/>
          <w:szCs w:val="22"/>
        </w:rPr>
        <w:t xml:space="preserve"> </w:t>
      </w:r>
      <w:r w:rsidRPr="2BB682A9" w:rsidR="00C30653">
        <w:rPr>
          <w:rStyle w:val="Strong"/>
          <w:b w:val="0"/>
          <w:bCs w:val="0"/>
          <w:sz w:val="22"/>
          <w:szCs w:val="22"/>
        </w:rPr>
        <w:t>Consolidated Framework for Implementation Research (CFIR)</w:t>
      </w:r>
      <w:r w:rsidRPr="2BB682A9" w:rsidR="00C30653">
        <w:rPr>
          <w:sz w:val="22"/>
          <w:szCs w:val="22"/>
        </w:rPr>
        <w:t xml:space="preserve"> to </w:t>
      </w:r>
      <w:r w:rsidRPr="2BB682A9" w:rsidR="6EDC8A54">
        <w:rPr>
          <w:sz w:val="22"/>
          <w:szCs w:val="22"/>
        </w:rPr>
        <w:t>guide qualitative data collection and deductive thematic analyses</w:t>
      </w:r>
      <w:r w:rsidRPr="2BB682A9" w:rsidR="00C30653">
        <w:rPr>
          <w:sz w:val="22"/>
          <w:szCs w:val="22"/>
        </w:rPr>
        <w:t xml:space="preserve">, the study </w:t>
      </w:r>
      <w:r w:rsidRPr="2BB682A9" w:rsidR="00C30653">
        <w:rPr>
          <w:sz w:val="22"/>
          <w:szCs w:val="22"/>
        </w:rPr>
        <w:t>identifies</w:t>
      </w:r>
      <w:r w:rsidRPr="2BB682A9" w:rsidR="00C30653">
        <w:rPr>
          <w:sz w:val="22"/>
          <w:szCs w:val="22"/>
        </w:rPr>
        <w:t xml:space="preserve"> implementation determinants</w:t>
      </w:r>
      <w:r w:rsidRPr="2BB682A9" w:rsidR="00C30653">
        <w:rPr>
          <w:sz w:val="22"/>
          <w:szCs w:val="22"/>
        </w:rPr>
        <w:t xml:space="preserve"> that </w:t>
      </w:r>
      <w:r w:rsidRPr="2BB682A9" w:rsidR="00C30653">
        <w:rPr>
          <w:sz w:val="22"/>
          <w:szCs w:val="22"/>
        </w:rPr>
        <w:t xml:space="preserve">shape </w:t>
      </w:r>
      <w:r w:rsidRPr="2BB682A9" w:rsidR="0B3D49C2">
        <w:rPr>
          <w:sz w:val="22"/>
          <w:szCs w:val="22"/>
        </w:rPr>
        <w:t xml:space="preserve">implementation success and failure across the eight DSD </w:t>
      </w:r>
      <w:r w:rsidRPr="2BB682A9" w:rsidR="0B3D49C2">
        <w:rPr>
          <w:sz w:val="22"/>
          <w:szCs w:val="22"/>
        </w:rPr>
        <w:t>models</w:t>
      </w:r>
      <w:r w:rsidRPr="2BB682A9" w:rsidR="00C30653">
        <w:rPr>
          <w:sz w:val="22"/>
          <w:szCs w:val="22"/>
        </w:rPr>
        <w:t>.</w:t>
      </w:r>
      <w:r w:rsidRPr="2BB682A9" w:rsidR="00C30653">
        <w:rPr>
          <w:sz w:val="22"/>
          <w:szCs w:val="22"/>
        </w:rPr>
        <w:t>within</w:t>
      </w:r>
      <w:r w:rsidRPr="2BB682A9" w:rsidR="00C30653">
        <w:rPr>
          <w:sz w:val="22"/>
          <w:szCs w:val="22"/>
        </w:rPr>
        <w:t xml:space="preserve"> the same policy environment</w:t>
      </w:r>
      <w:r w:rsidRPr="2BB682A9" w:rsidR="00C30653">
        <w:rPr>
          <w:sz w:val="22"/>
          <w:szCs w:val="22"/>
        </w:rPr>
        <w:t>.</w:t>
      </w:r>
      <w:r w:rsidRPr="2BB682A9" w:rsidR="03D861E9">
        <w:rPr>
          <w:sz w:val="22"/>
          <w:szCs w:val="22"/>
        </w:rPr>
        <w:t xml:space="preserve"> The C</w:t>
      </w:r>
      <w:r w:rsidRPr="2BB682A9" w:rsidR="03D861E9">
        <w:rPr>
          <w:sz w:val="22"/>
          <w:szCs w:val="22"/>
        </w:rPr>
        <w:t xml:space="preserve">FIR constructs of Relative Advantage, Complexity, Patient Needs and Resources, and Reflecting and Evaluating were identified as drivers of implementation, </w:t>
      </w:r>
      <w:r w:rsidRPr="2BB682A9" w:rsidR="03D861E9">
        <w:rPr>
          <w:sz w:val="22"/>
          <w:szCs w:val="22"/>
        </w:rPr>
        <w:t>whereas</w:t>
      </w:r>
      <w:r w:rsidRPr="2BB682A9" w:rsidR="03D861E9">
        <w:rPr>
          <w:sz w:val="22"/>
          <w:szCs w:val="22"/>
        </w:rPr>
        <w:t xml:space="preserve"> Available R</w:t>
      </w:r>
      <w:r w:rsidRPr="2BB682A9" w:rsidR="5B4E6973">
        <w:rPr>
          <w:sz w:val="22"/>
          <w:szCs w:val="22"/>
        </w:rPr>
        <w:t>esources</w:t>
      </w:r>
      <w:r w:rsidRPr="2BB682A9" w:rsidR="5B4E6973">
        <w:rPr>
          <w:sz w:val="22"/>
          <w:szCs w:val="22"/>
        </w:rPr>
        <w:t xml:space="preserve"> and Access to Knowledge and Information were identified as barriers to implementation</w:t>
      </w:r>
      <w:r w:rsidRPr="2BB682A9" w:rsidR="03D861E9">
        <w:rPr>
          <w:sz w:val="22"/>
          <w:szCs w:val="22"/>
        </w:rPr>
        <w:t xml:space="preserve">. </w:t>
      </w:r>
      <w:r>
        <w:br/>
      </w:r>
    </w:p>
    <w:p w:rsidR="00967B1B" w:rsidP="00C30653" w:rsidRDefault="00C30653" w14:paraId="2C078E63" w14:textId="11B567D4">
      <w:pPr>
        <w:pStyle w:val="NormalWeb"/>
        <w:rPr>
          <w:sz w:val="22"/>
          <w:szCs w:val="22"/>
        </w:rPr>
      </w:pPr>
      <w:r w:rsidRPr="0D476EC1" w:rsidR="00C30653">
        <w:rPr>
          <w:sz w:val="22"/>
          <w:szCs w:val="22"/>
        </w:rPr>
        <w:t xml:space="preserve">The </w:t>
      </w:r>
      <w:r w:rsidRPr="0D476EC1" w:rsidR="00C30653">
        <w:rPr>
          <w:sz w:val="22"/>
          <w:szCs w:val="22"/>
        </w:rPr>
        <w:t xml:space="preserve">study deepens implementation knowledge by showing how </w:t>
      </w:r>
      <w:r w:rsidRPr="0D476EC1" w:rsidR="00C30653">
        <w:rPr>
          <w:rStyle w:val="Strong"/>
          <w:b w:val="0"/>
          <w:bCs w:val="0"/>
          <w:sz w:val="22"/>
          <w:szCs w:val="22"/>
        </w:rPr>
        <w:t>context and model</w:t>
      </w:r>
      <w:r w:rsidRPr="0D476EC1" w:rsidR="00C30653">
        <w:rPr>
          <w:rStyle w:val="Strong"/>
          <w:sz w:val="22"/>
          <w:szCs w:val="22"/>
        </w:rPr>
        <w:t xml:space="preserve"> </w:t>
      </w:r>
      <w:r w:rsidRPr="0D476EC1" w:rsidR="00C30653">
        <w:rPr>
          <w:rStyle w:val="Strong"/>
          <w:b w:val="0"/>
          <w:bCs w:val="0"/>
          <w:sz w:val="22"/>
          <w:szCs w:val="22"/>
        </w:rPr>
        <w:t>fit</w:t>
      </w:r>
      <w:r w:rsidRPr="0D476EC1" w:rsidR="00C30653">
        <w:rPr>
          <w:sz w:val="22"/>
          <w:szCs w:val="22"/>
        </w:rPr>
        <w:t xml:space="preserve"> influence</w:t>
      </w:r>
      <w:r w:rsidRPr="0D476EC1" w:rsidR="00C30653">
        <w:rPr>
          <w:sz w:val="22"/>
          <w:szCs w:val="22"/>
        </w:rPr>
        <w:t>,</w:t>
      </w:r>
      <w:r w:rsidRPr="0D476EC1" w:rsidR="00C30653">
        <w:rPr>
          <w:sz w:val="22"/>
          <w:szCs w:val="22"/>
        </w:rPr>
        <w:t xml:space="preserve"> reach</w:t>
      </w:r>
      <w:r w:rsidRPr="0D476EC1" w:rsidR="00C30653">
        <w:rPr>
          <w:sz w:val="22"/>
          <w:szCs w:val="22"/>
        </w:rPr>
        <w:t>,</w:t>
      </w:r>
      <w:r w:rsidRPr="0D476EC1" w:rsidR="00C30653">
        <w:rPr>
          <w:sz w:val="22"/>
          <w:szCs w:val="22"/>
        </w:rPr>
        <w:t xml:space="preserve"> and sustainability. It highlights that “simpler” models like fast-track refills and multi-month dispensing were implemented more successfully because they aligned with staffing realities and patient priorities</w:t>
      </w:r>
      <w:r w:rsidRPr="0D476EC1" w:rsidR="00C30653">
        <w:rPr>
          <w:sz w:val="22"/>
          <w:szCs w:val="22"/>
        </w:rPr>
        <w:t>. Group</w:t>
      </w:r>
      <w:r w:rsidRPr="0D476EC1" w:rsidR="00C30653">
        <w:rPr>
          <w:sz w:val="22"/>
          <w:szCs w:val="22"/>
        </w:rPr>
        <w:t>-based models were more vulnerable to stigma, disclosure concerns, and urban mobility</w:t>
      </w:r>
      <w:r w:rsidRPr="0D476EC1" w:rsidR="00C30653">
        <w:rPr>
          <w:sz w:val="22"/>
          <w:szCs w:val="22"/>
        </w:rPr>
        <w:t xml:space="preserve">, which illustrates </w:t>
      </w:r>
      <w:r w:rsidRPr="0D476EC1" w:rsidR="00C30653">
        <w:rPr>
          <w:sz w:val="22"/>
          <w:szCs w:val="22"/>
        </w:rPr>
        <w:t xml:space="preserve">how social and structural conditions can enable or constrain DSD effectiveness. The paper also captures COVID-19 as a naturally occurring implementation shock that accelerated certain models and disrupted others, offering D&amp;I science a concrete example of how outer-context events </w:t>
      </w:r>
      <w:r w:rsidRPr="0D476EC1" w:rsidR="00C30653">
        <w:rPr>
          <w:sz w:val="22"/>
          <w:szCs w:val="22"/>
        </w:rPr>
        <w:t>affect</w:t>
      </w:r>
      <w:r w:rsidRPr="0D476EC1" w:rsidR="00C30653">
        <w:rPr>
          <w:sz w:val="22"/>
          <w:szCs w:val="22"/>
        </w:rPr>
        <w:t xml:space="preserve"> implementation trajectories. </w:t>
      </w:r>
      <w:r w:rsidRPr="0D476EC1" w:rsidR="00C30653">
        <w:rPr>
          <w:sz w:val="22"/>
          <w:szCs w:val="22"/>
        </w:rPr>
        <w:t>These</w:t>
      </w:r>
      <w:r w:rsidRPr="0D476EC1" w:rsidR="00C30653">
        <w:rPr>
          <w:sz w:val="22"/>
          <w:szCs w:val="22"/>
        </w:rPr>
        <w:t xml:space="preserve"> insights strengthen the field’s understanding of scaling treatment innovations in </w:t>
      </w:r>
      <w:r w:rsidRPr="0D476EC1" w:rsidR="461B4F0F">
        <w:rPr>
          <w:sz w:val="22"/>
          <w:szCs w:val="22"/>
        </w:rPr>
        <w:t>low resource</w:t>
      </w:r>
      <w:r w:rsidRPr="0D476EC1" w:rsidR="00C30653">
        <w:rPr>
          <w:sz w:val="22"/>
          <w:szCs w:val="22"/>
        </w:rPr>
        <w:t xml:space="preserve"> </w:t>
      </w:r>
      <w:bookmarkStart w:name="_Int_yT9GK4G4" w:id="164099564"/>
      <w:r w:rsidRPr="0D476EC1" w:rsidR="00C30653">
        <w:rPr>
          <w:sz w:val="22"/>
          <w:szCs w:val="22"/>
        </w:rPr>
        <w:t>settings</w:t>
      </w:r>
      <w:r w:rsidRPr="0D476EC1" w:rsidR="00C30653">
        <w:rPr>
          <w:sz w:val="22"/>
          <w:szCs w:val="22"/>
        </w:rPr>
        <w:t>,</w:t>
      </w:r>
      <w:r w:rsidRPr="0D476EC1" w:rsidR="00C30653">
        <w:rPr>
          <w:sz w:val="22"/>
          <w:szCs w:val="22"/>
        </w:rPr>
        <w:t xml:space="preserve"> and</w:t>
      </w:r>
      <w:bookmarkEnd w:id="164099564"/>
      <w:r w:rsidRPr="0D476EC1" w:rsidR="00C30653">
        <w:rPr>
          <w:sz w:val="22"/>
          <w:szCs w:val="22"/>
        </w:rPr>
        <w:t xml:space="preserve"> </w:t>
      </w:r>
      <w:r w:rsidRPr="0D476EC1" w:rsidR="4BC6F08D">
        <w:rPr>
          <w:sz w:val="22"/>
          <w:szCs w:val="22"/>
        </w:rPr>
        <w:t xml:space="preserve">emphasize </w:t>
      </w:r>
      <w:r w:rsidRPr="0D476EC1" w:rsidR="00C30653">
        <w:rPr>
          <w:sz w:val="22"/>
          <w:szCs w:val="22"/>
        </w:rPr>
        <w:t xml:space="preserve">that sustainable implementation depends on matching intervention design to system capacity, workforce support, and local social dynamics. </w:t>
      </w:r>
    </w:p>
    <w:sectPr w:rsidR="00967B1B">
      <w:pgSz w:w="12240" w:h="15840" w:orient="portrait"/>
      <w:pgMar w:top="1440" w:right="1440" w:bottom="1440" w:left="1440" w:header="720" w:footer="720" w:gutter="0"/>
      <w:cols w:space="720"/>
      <w:docGrid w:linePitch="36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intelligence2.xml><?xml version="1.0" encoding="utf-8"?>
<int2:intelligence xmlns:int2="http://schemas.microsoft.com/office/intelligence/2020/intelligence">
  <int2:observations>
    <int2:bookmark int2:bookmarkName="_Int_yT9GK4G4" int2:invalidationBookmarkName="" int2:hashCode="uPIA/JofQFJgNT" int2:id="LTZoBJAE">
      <int2:state int2:type="gram" int2:value="Rejected"/>
    </int2:bookmark>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055B079"/>
    <w:multiLevelType w:val="hybridMultilevel"/>
    <w:tmpl w:val="5E4A925C"/>
    <w:lvl w:ilvl="0" w:tplc="777A2624">
      <w:start w:val="1"/>
      <w:numFmt w:val="bullet"/>
      <w:lvlText w:val=""/>
      <w:lvlJc w:val="left"/>
      <w:pPr>
        <w:ind w:left="720" w:hanging="360"/>
      </w:pPr>
      <w:rPr>
        <w:rFonts w:hint="default" w:ascii="Symbol" w:hAnsi="Symbol"/>
      </w:rPr>
    </w:lvl>
    <w:lvl w:ilvl="1" w:tplc="903AA33A">
      <w:start w:val="1"/>
      <w:numFmt w:val="bullet"/>
      <w:lvlText w:val="o"/>
      <w:lvlJc w:val="left"/>
      <w:pPr>
        <w:ind w:left="1440" w:hanging="360"/>
      </w:pPr>
      <w:rPr>
        <w:rFonts w:hint="default" w:ascii="Courier New" w:hAnsi="Courier New"/>
      </w:rPr>
    </w:lvl>
    <w:lvl w:ilvl="2" w:tplc="8A242246">
      <w:start w:val="1"/>
      <w:numFmt w:val="bullet"/>
      <w:lvlText w:val=""/>
      <w:lvlJc w:val="left"/>
      <w:pPr>
        <w:ind w:left="2160" w:hanging="360"/>
      </w:pPr>
      <w:rPr>
        <w:rFonts w:hint="default" w:ascii="Wingdings" w:hAnsi="Wingdings"/>
      </w:rPr>
    </w:lvl>
    <w:lvl w:ilvl="3" w:tplc="3A4A79F4">
      <w:start w:val="1"/>
      <w:numFmt w:val="bullet"/>
      <w:lvlText w:val=""/>
      <w:lvlJc w:val="left"/>
      <w:pPr>
        <w:ind w:left="2880" w:hanging="360"/>
      </w:pPr>
      <w:rPr>
        <w:rFonts w:hint="default" w:ascii="Symbol" w:hAnsi="Symbol"/>
      </w:rPr>
    </w:lvl>
    <w:lvl w:ilvl="4" w:tplc="0AAE1786">
      <w:start w:val="1"/>
      <w:numFmt w:val="bullet"/>
      <w:lvlText w:val="o"/>
      <w:lvlJc w:val="left"/>
      <w:pPr>
        <w:ind w:left="3600" w:hanging="360"/>
      </w:pPr>
      <w:rPr>
        <w:rFonts w:hint="default" w:ascii="Courier New" w:hAnsi="Courier New"/>
      </w:rPr>
    </w:lvl>
    <w:lvl w:ilvl="5" w:tplc="B22CEF1C">
      <w:start w:val="1"/>
      <w:numFmt w:val="bullet"/>
      <w:lvlText w:val=""/>
      <w:lvlJc w:val="left"/>
      <w:pPr>
        <w:ind w:left="4320" w:hanging="360"/>
      </w:pPr>
      <w:rPr>
        <w:rFonts w:hint="default" w:ascii="Wingdings" w:hAnsi="Wingdings"/>
      </w:rPr>
    </w:lvl>
    <w:lvl w:ilvl="6" w:tplc="9BAEFA8A">
      <w:start w:val="1"/>
      <w:numFmt w:val="bullet"/>
      <w:lvlText w:val=""/>
      <w:lvlJc w:val="left"/>
      <w:pPr>
        <w:ind w:left="5040" w:hanging="360"/>
      </w:pPr>
      <w:rPr>
        <w:rFonts w:hint="default" w:ascii="Symbol" w:hAnsi="Symbol"/>
      </w:rPr>
    </w:lvl>
    <w:lvl w:ilvl="7" w:tplc="0C406206">
      <w:start w:val="1"/>
      <w:numFmt w:val="bullet"/>
      <w:lvlText w:val="o"/>
      <w:lvlJc w:val="left"/>
      <w:pPr>
        <w:ind w:left="5760" w:hanging="360"/>
      </w:pPr>
      <w:rPr>
        <w:rFonts w:hint="default" w:ascii="Courier New" w:hAnsi="Courier New"/>
      </w:rPr>
    </w:lvl>
    <w:lvl w:ilvl="8" w:tplc="F028E656">
      <w:start w:val="1"/>
      <w:numFmt w:val="bullet"/>
      <w:lvlText w:val=""/>
      <w:lvlJc w:val="left"/>
      <w:pPr>
        <w:ind w:left="6480" w:hanging="360"/>
      </w:pPr>
      <w:rPr>
        <w:rFonts w:hint="default" w:ascii="Wingdings" w:hAnsi="Wingdings"/>
      </w:rPr>
    </w:lvl>
  </w:abstractNum>
  <w:num w:numId="1" w16cid:durableId="12729221">
    <w:abstractNumId w:val="0"/>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trackRevisions w:val="false"/>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DEE7B40"/>
    <w:rsid w:val="00680CD1"/>
    <w:rsid w:val="008242C2"/>
    <w:rsid w:val="00967B1B"/>
    <w:rsid w:val="00C30653"/>
    <w:rsid w:val="00EA4433"/>
    <w:rsid w:val="018C63AD"/>
    <w:rsid w:val="03D861E9"/>
    <w:rsid w:val="067C8F07"/>
    <w:rsid w:val="07CBC5D3"/>
    <w:rsid w:val="0B3D49C2"/>
    <w:rsid w:val="0D476EC1"/>
    <w:rsid w:val="0FC8C98F"/>
    <w:rsid w:val="1387CB96"/>
    <w:rsid w:val="16737A86"/>
    <w:rsid w:val="1A54AA55"/>
    <w:rsid w:val="2680D4DB"/>
    <w:rsid w:val="27BC73AB"/>
    <w:rsid w:val="28FBA736"/>
    <w:rsid w:val="2BB682A9"/>
    <w:rsid w:val="366B4CFC"/>
    <w:rsid w:val="3DFBD515"/>
    <w:rsid w:val="402E8E84"/>
    <w:rsid w:val="461B4F0F"/>
    <w:rsid w:val="46E0E6F0"/>
    <w:rsid w:val="4890DDD4"/>
    <w:rsid w:val="49FA64EE"/>
    <w:rsid w:val="4BC6F08D"/>
    <w:rsid w:val="4FCF7F03"/>
    <w:rsid w:val="5AADB31F"/>
    <w:rsid w:val="5B4E6973"/>
    <w:rsid w:val="5DEE7B40"/>
    <w:rsid w:val="5E4AF114"/>
    <w:rsid w:val="61AE31F5"/>
    <w:rsid w:val="675E71C9"/>
    <w:rsid w:val="6EDC8A54"/>
    <w:rsid w:val="7377994B"/>
    <w:rsid w:val="77233E2F"/>
    <w:rsid w:val="775A7C35"/>
    <w:rsid w:val="7DE903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4FF5D9"/>
  <w15:chartTrackingRefBased/>
  <w15:docId w15:val="{79BB627B-326E-4974-8BC0-3A9CBC11C0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5E4AF114"/>
    <w:pPr>
      <w:ind w:left="720"/>
      <w:contextualSpacing/>
    </w:pPr>
  </w:style>
  <w:style w:type="paragraph" w:styleId="NormalWeb">
    <w:name w:val="Normal (Web)"/>
    <w:basedOn w:val="Normal"/>
    <w:uiPriority w:val="99"/>
    <w:unhideWhenUsed/>
    <w:rsid w:val="008242C2"/>
    <w:pPr>
      <w:spacing w:before="100" w:beforeAutospacing="1" w:after="100" w:afterAutospacing="1" w:line="240" w:lineRule="auto"/>
    </w:pPr>
    <w:rPr>
      <w:rFonts w:ascii="Times New Roman" w:hAnsi="Times New Roman" w:eastAsia="Times New Roman" w:cs="Times New Roman"/>
      <w:lang w:eastAsia="en-US"/>
    </w:rPr>
  </w:style>
  <w:style w:type="character" w:styleId="Strong">
    <w:name w:val="Strong"/>
    <w:basedOn w:val="DefaultParagraphFont"/>
    <w:uiPriority w:val="22"/>
    <w:qFormat/>
    <w:rsid w:val="008242C2"/>
    <w:rPr>
      <w:b/>
      <w:bCs/>
    </w:rPr>
  </w:style>
  <w:style w:type="character" w:styleId="relative" w:customStyle="1">
    <w:name w:val="relative"/>
    <w:basedOn w:val="DefaultParagraphFont"/>
    <w:rsid w:val="008242C2"/>
  </w:style>
  <w:style w:type="paragraph" w:styleId="not-prose" w:customStyle="1">
    <w:name w:val="not-prose"/>
    <w:basedOn w:val="Normal"/>
    <w:rsid w:val="008242C2"/>
    <w:pPr>
      <w:spacing w:before="100" w:beforeAutospacing="1" w:after="100" w:afterAutospacing="1" w:line="240" w:lineRule="auto"/>
    </w:pPr>
    <w:rPr>
      <w:rFonts w:ascii="Times New Roman" w:hAnsi="Times New Roman" w:eastAsia="Times New Roman" w:cs="Times New Roman"/>
      <w:lang w:eastAsia="en-US"/>
    </w:rPr>
  </w:style>
</w:styles>
</file>

<file path=word/tasks.xml><?xml version="1.0" encoding="utf-8"?>
<t:Tasks xmlns:t="http://schemas.microsoft.com/office/tasks/2019/documenttasks" xmlns:oel="http://schemas.microsoft.com/office/2019/extlst">
  <t:Task id="{AAF9FFE5-E313-4AA3-A00C-1475DBBF3329}">
    <t:Anchor>
      <t:Comment id="1232394195"/>
    </t:Anchor>
    <t:History>
      <t:Event id="{A9AF4720-D44F-48DC-A6B4-4887AC227C64}" time="2025-11-25T17:23:50.3Z">
        <t:Attribution userId="S::cmgeremia@health.ucsd.edu::c86de92a-8aef-4622-b3bb-576d5cfbb3c6" userProvider="AD" userName="Geremia, Carrie"/>
        <t:Anchor>
          <t:Comment id="1232394195"/>
        </t:Anchor>
        <t:Create/>
      </t:Event>
      <t:Event id="{0895AF32-211B-4DAA-B039-9C251A2FFD44}" time="2025-11-25T17:23:50.3Z">
        <t:Attribution userId="S::cmgeremia@health.ucsd.edu::c86de92a-8aef-4622-b3bb-576d5cfbb3c6" userProvider="AD" userName="Geremia, Carrie"/>
        <t:Anchor>
          <t:Comment id="1232394195"/>
        </t:Anchor>
        <t:Assign userId="S::jlmontoy@health.ucsd.edu::37fcc423-0fd1-4722-a3be-713f4626f8bd" userProvider="AD" userName="Montoya, Jessica"/>
      </t:Event>
      <t:Event id="{BE915C17-7A58-4B57-9AE1-5356BB4F4A7C}" time="2025-11-25T17:23:50.3Z">
        <t:Attribution userId="S::cmgeremia@health.ucsd.edu::c86de92a-8aef-4622-b3bb-576d5cfbb3c6" userProvider="AD" userName="Geremia, Carrie"/>
        <t:Anchor>
          <t:Comment id="1232394195"/>
        </t:Anchor>
        <t:SetTitle title="@Montoya, Jessica"/>
      </t:Event>
    </t:History>
  </t:Task>
</t:Task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2928397">
      <w:bodyDiv w:val="1"/>
      <w:marLeft w:val="0"/>
      <w:marRight w:val="0"/>
      <w:marTop w:val="0"/>
      <w:marBottom w:val="0"/>
      <w:divBdr>
        <w:top w:val="none" w:sz="0" w:space="0" w:color="auto"/>
        <w:left w:val="none" w:sz="0" w:space="0" w:color="auto"/>
        <w:bottom w:val="none" w:sz="0" w:space="0" w:color="auto"/>
        <w:right w:val="none" w:sz="0" w:space="0" w:color="auto"/>
      </w:divBdr>
    </w:div>
    <w:div w:id="12376667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2.xml" Id="rId8" /><Relationship Type="http://schemas.openxmlformats.org/officeDocument/2006/relationships/settings" Target="settings.xml" Id="rId3" /><Relationship Type="http://schemas.openxmlformats.org/officeDocument/2006/relationships/customXml" Target="../customXml/item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 Type="http://schemas.openxmlformats.org/officeDocument/2006/relationships/customXml" Target="../customXml/item3.xml" Id="rId9" /><Relationship Type="http://schemas.microsoft.com/office/2011/relationships/people" Target="people.xml" Id="R6a14f379aea94282" /><Relationship Type="http://schemas.microsoft.com/office/2011/relationships/commentsExtended" Target="commentsExtended.xml" Id="R1aeb12764744410d" /><Relationship Type="http://schemas.microsoft.com/office/2016/09/relationships/commentsIds" Target="commentsIds.xml" Id="R560e698131bb46bf" /><Relationship Type="http://schemas.microsoft.com/office/2019/05/relationships/documenttasks" Target="tasks.xml" Id="Rf1211629fbe245d6" /><Relationship Type="http://schemas.microsoft.com/office/2020/10/relationships/intelligence" Target="intelligence2.xml" Id="R32c7656bc72c4b47"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39C5A22072D1A49B619EADA6ED24D47" ma:contentTypeVersion="16" ma:contentTypeDescription="Create a new document." ma:contentTypeScope="" ma:versionID="a198a524b0be707857632424868b3ea2">
  <xsd:schema xmlns:xsd="http://www.w3.org/2001/XMLSchema" xmlns:xs="http://www.w3.org/2001/XMLSchema" xmlns:p="http://schemas.microsoft.com/office/2006/metadata/properties" xmlns:ns2="f9e1e7b2-c25f-42c2-9406-373a71d96f4c" xmlns:ns3="dca96bb3-0378-4d95-8455-08d844e02994" targetNamespace="http://schemas.microsoft.com/office/2006/metadata/properties" ma:root="true" ma:fieldsID="1550e52471d9d8f800af8257a659f389" ns2:_="" ns3:_="">
    <xsd:import namespace="f9e1e7b2-c25f-42c2-9406-373a71d96f4c"/>
    <xsd:import namespace="dca96bb3-0378-4d95-8455-08d844e02994"/>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LengthInSeconds"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9e1e7b2-c25f-42c2-9406-373a71d96f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2ccd466c-82b6-42a3-8ba5-5c7db83406b1"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ca96bb3-0378-4d95-8455-08d844e02994"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bd2383bb-16fa-493b-ad80-7dfb47c70ada}" ma:internalName="TaxCatchAll" ma:showField="CatchAllData" ma:web="dca96bb3-0378-4d95-8455-08d844e02994">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9e1e7b2-c25f-42c2-9406-373a71d96f4c">
      <Terms xmlns="http://schemas.microsoft.com/office/infopath/2007/PartnerControls"/>
    </lcf76f155ced4ddcb4097134ff3c332f>
    <TaxCatchAll xmlns="dca96bb3-0378-4d95-8455-08d844e02994" xsi:nil="true"/>
  </documentManagement>
</p:properties>
</file>

<file path=customXml/itemProps1.xml><?xml version="1.0" encoding="utf-8"?>
<ds:datastoreItem xmlns:ds="http://schemas.openxmlformats.org/officeDocument/2006/customXml" ds:itemID="{38BEB0DB-B1E8-400B-928D-4F662B2B29FA}"/>
</file>

<file path=customXml/itemProps2.xml><?xml version="1.0" encoding="utf-8"?>
<ds:datastoreItem xmlns:ds="http://schemas.openxmlformats.org/officeDocument/2006/customXml" ds:itemID="{FF8F9F23-AF2B-4F2F-AE86-73238B6DFB35}"/>
</file>

<file path=customXml/itemProps3.xml><?xml version="1.0" encoding="utf-8"?>
<ds:datastoreItem xmlns:ds="http://schemas.openxmlformats.org/officeDocument/2006/customXml" ds:itemID="{C9ECE33B-1994-4B9B-906D-E34F15399DE4}"/>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Lee, Jasmine</dc:creator>
  <keywords/>
  <dc:description/>
  <lastModifiedBy>Geremia, Carrie</lastModifiedBy>
  <revision>7</revision>
  <dcterms:created xsi:type="dcterms:W3CDTF">2025-11-25T15:55:00.0000000Z</dcterms:created>
  <dcterms:modified xsi:type="dcterms:W3CDTF">2025-12-09T16:04:27.9084677Z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0x010100F39C5A22072D1A49B619EADA6ED24D47</vt:lpwstr>
  </property>
  <property fmtid="{D5CDD505-2E9C-101B-9397-08002B2CF9AE}" pid="3" name="MediaServiceImageTags">
    <vt:lpwstr/>
  </property>
</Properties>
</file>